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3AA" w:rsidRPr="00A77BAC" w:rsidRDefault="00C333F9" w:rsidP="003B63AA">
      <w:pPr>
        <w:spacing w:line="240" w:lineRule="auto"/>
        <w:jc w:val="center"/>
        <w:rPr>
          <w:rFonts w:eastAsia="Calibri" w:cs="Arial"/>
          <w:b/>
          <w:szCs w:val="22"/>
          <w:lang w:eastAsia="en-US"/>
        </w:rPr>
      </w:pPr>
      <w:bookmarkStart w:id="0" w:name="_GoBack"/>
      <w:bookmarkEnd w:id="0"/>
      <w:r>
        <w:rPr>
          <w:rFonts w:eastAsia="Calibri" w:cs="Arial"/>
          <w:b/>
          <w:szCs w:val="22"/>
          <w:lang w:eastAsia="en-US"/>
        </w:rPr>
        <w:t>INFORME</w:t>
      </w:r>
      <w:r w:rsidR="003B63AA" w:rsidRPr="00A77BAC">
        <w:rPr>
          <w:rFonts w:eastAsia="Calibri" w:cs="Arial"/>
          <w:b/>
          <w:szCs w:val="22"/>
          <w:lang w:eastAsia="en-US"/>
        </w:rPr>
        <w:t xml:space="preserve"> SOBRE EL GOBIERNO EN FUNCIONES</w:t>
      </w:r>
    </w:p>
    <w:p w:rsidR="00F158FA" w:rsidRPr="00A77BAC" w:rsidRDefault="00F158FA" w:rsidP="003B63AA">
      <w:pPr>
        <w:spacing w:line="240" w:lineRule="auto"/>
        <w:rPr>
          <w:rFonts w:eastAsia="Calibri" w:cs="Arial"/>
          <w:b/>
          <w:szCs w:val="22"/>
          <w:u w:val="single"/>
          <w:lang w:eastAsia="en-US"/>
        </w:rPr>
      </w:pPr>
    </w:p>
    <w:p w:rsidR="003B63AA" w:rsidRPr="00A77BAC" w:rsidRDefault="003B63AA" w:rsidP="003B63AA">
      <w:pPr>
        <w:spacing w:line="240" w:lineRule="auto"/>
        <w:rPr>
          <w:rFonts w:eastAsia="Calibri" w:cs="Arial"/>
          <w:b/>
          <w:szCs w:val="22"/>
          <w:u w:val="single"/>
          <w:lang w:eastAsia="en-US"/>
        </w:rPr>
      </w:pPr>
      <w:r w:rsidRPr="00A77BAC">
        <w:rPr>
          <w:rFonts w:eastAsia="Calibri" w:cs="Arial"/>
          <w:b/>
          <w:szCs w:val="22"/>
          <w:u w:val="single"/>
          <w:lang w:eastAsia="en-US"/>
        </w:rPr>
        <w:t>1.- Detalle de fechas de la celebración de elecciones, investidura del Presidente del Gobierno y nombramiento de los miembros del Gobierno.</w:t>
      </w:r>
    </w:p>
    <w:p w:rsidR="003B63AA" w:rsidRPr="00A77BAC" w:rsidRDefault="003B63AA" w:rsidP="003B63AA">
      <w:pPr>
        <w:spacing w:line="240" w:lineRule="auto"/>
        <w:rPr>
          <w:rFonts w:eastAsia="Calibri" w:cs="Arial"/>
          <w:szCs w:val="22"/>
          <w:lang w:eastAsia="en-US"/>
        </w:rPr>
      </w:pPr>
    </w:p>
    <w:tbl>
      <w:tblPr>
        <w:tblStyle w:val="Tablaconcuadrcula"/>
        <w:tblW w:w="0" w:type="auto"/>
        <w:tblLook w:val="04A0" w:firstRow="1" w:lastRow="0" w:firstColumn="1" w:lastColumn="0" w:noHBand="0" w:noVBand="1"/>
      </w:tblPr>
      <w:tblGrid>
        <w:gridCol w:w="2881"/>
        <w:gridCol w:w="2881"/>
        <w:gridCol w:w="2882"/>
      </w:tblGrid>
      <w:tr w:rsidR="003B63AA" w:rsidRPr="00A77BAC" w:rsidTr="00F73397">
        <w:tc>
          <w:tcPr>
            <w:tcW w:w="2881" w:type="dxa"/>
          </w:tcPr>
          <w:p w:rsidR="003B63AA" w:rsidRPr="00A77BAC" w:rsidRDefault="003B63AA" w:rsidP="003B63AA">
            <w:pPr>
              <w:spacing w:line="240" w:lineRule="auto"/>
              <w:rPr>
                <w:rFonts w:cs="Arial"/>
                <w:b/>
                <w:szCs w:val="22"/>
              </w:rPr>
            </w:pPr>
            <w:r w:rsidRPr="00A77BAC">
              <w:rPr>
                <w:rFonts w:cs="Arial"/>
                <w:b/>
                <w:szCs w:val="22"/>
              </w:rPr>
              <w:t>Celebración de elecciones</w:t>
            </w:r>
          </w:p>
        </w:tc>
        <w:tc>
          <w:tcPr>
            <w:tcW w:w="2881" w:type="dxa"/>
          </w:tcPr>
          <w:p w:rsidR="003B63AA" w:rsidRPr="00A77BAC" w:rsidRDefault="003B63AA" w:rsidP="003B63AA">
            <w:pPr>
              <w:spacing w:line="240" w:lineRule="auto"/>
              <w:rPr>
                <w:rFonts w:cs="Arial"/>
                <w:b/>
                <w:szCs w:val="22"/>
              </w:rPr>
            </w:pPr>
            <w:r w:rsidRPr="00A77BAC">
              <w:rPr>
                <w:rFonts w:cs="Arial"/>
                <w:b/>
                <w:szCs w:val="22"/>
              </w:rPr>
              <w:t>Fecha de investidura del Presidente del Gobierno</w:t>
            </w:r>
          </w:p>
        </w:tc>
        <w:tc>
          <w:tcPr>
            <w:tcW w:w="2882" w:type="dxa"/>
          </w:tcPr>
          <w:p w:rsidR="003B63AA" w:rsidRPr="00A77BAC" w:rsidRDefault="003B63AA" w:rsidP="003B63AA">
            <w:pPr>
              <w:spacing w:line="240" w:lineRule="auto"/>
              <w:rPr>
                <w:rFonts w:cs="Arial"/>
                <w:b/>
                <w:szCs w:val="22"/>
              </w:rPr>
            </w:pPr>
            <w:r w:rsidRPr="00A77BAC">
              <w:rPr>
                <w:rFonts w:cs="Arial"/>
                <w:b/>
                <w:szCs w:val="22"/>
              </w:rPr>
              <w:t xml:space="preserve">Fecha del Real Decreto de nombramiento de los miembros del Gobierno </w:t>
            </w:r>
          </w:p>
        </w:tc>
      </w:tr>
      <w:tr w:rsidR="003B63AA" w:rsidRPr="00A77BAC" w:rsidTr="00F73397">
        <w:tc>
          <w:tcPr>
            <w:tcW w:w="2881" w:type="dxa"/>
          </w:tcPr>
          <w:p w:rsidR="003B63AA" w:rsidRPr="00A77BAC" w:rsidRDefault="003B63AA" w:rsidP="003B63AA">
            <w:pPr>
              <w:spacing w:line="240" w:lineRule="auto"/>
              <w:rPr>
                <w:rFonts w:cs="Arial"/>
                <w:szCs w:val="22"/>
              </w:rPr>
            </w:pPr>
            <w:r w:rsidRPr="00A77BAC">
              <w:rPr>
                <w:rFonts w:cs="Arial"/>
                <w:szCs w:val="22"/>
              </w:rPr>
              <w:t xml:space="preserve">12/03/2000 </w:t>
            </w:r>
          </w:p>
        </w:tc>
        <w:tc>
          <w:tcPr>
            <w:tcW w:w="2881" w:type="dxa"/>
          </w:tcPr>
          <w:p w:rsidR="003B63AA" w:rsidRPr="00A77BAC" w:rsidRDefault="003B63AA" w:rsidP="003B63AA">
            <w:pPr>
              <w:spacing w:line="240" w:lineRule="auto"/>
              <w:rPr>
                <w:rFonts w:cs="Arial"/>
                <w:szCs w:val="22"/>
              </w:rPr>
            </w:pPr>
            <w:r w:rsidRPr="00A77BAC">
              <w:rPr>
                <w:rFonts w:cs="Arial"/>
                <w:szCs w:val="22"/>
              </w:rPr>
              <w:t>26/04/2000</w:t>
            </w:r>
          </w:p>
        </w:tc>
        <w:tc>
          <w:tcPr>
            <w:tcW w:w="2882" w:type="dxa"/>
          </w:tcPr>
          <w:p w:rsidR="003B63AA" w:rsidRPr="00A77BAC" w:rsidRDefault="00F008BB" w:rsidP="003B63AA">
            <w:pPr>
              <w:spacing w:line="240" w:lineRule="auto"/>
              <w:rPr>
                <w:rFonts w:cs="Arial"/>
                <w:szCs w:val="22"/>
              </w:rPr>
            </w:pPr>
            <w:r>
              <w:rPr>
                <w:rFonts w:cs="Arial"/>
                <w:szCs w:val="22"/>
              </w:rPr>
              <w:t>28</w:t>
            </w:r>
            <w:r w:rsidR="003B63AA" w:rsidRPr="00A77BAC">
              <w:rPr>
                <w:rFonts w:cs="Arial"/>
                <w:szCs w:val="22"/>
              </w:rPr>
              <w:t>/</w:t>
            </w:r>
            <w:r>
              <w:rPr>
                <w:rFonts w:cs="Arial"/>
                <w:szCs w:val="22"/>
              </w:rPr>
              <w:t>04/</w:t>
            </w:r>
            <w:r w:rsidR="003B63AA" w:rsidRPr="00A77BAC">
              <w:rPr>
                <w:rFonts w:cs="Arial"/>
                <w:szCs w:val="22"/>
              </w:rPr>
              <w:t>2000</w:t>
            </w:r>
          </w:p>
        </w:tc>
      </w:tr>
      <w:tr w:rsidR="003B63AA" w:rsidRPr="00A77BAC" w:rsidTr="00F73397">
        <w:tc>
          <w:tcPr>
            <w:tcW w:w="2881" w:type="dxa"/>
          </w:tcPr>
          <w:p w:rsidR="003B63AA" w:rsidRPr="00A77BAC" w:rsidRDefault="003B63AA" w:rsidP="003B63AA">
            <w:pPr>
              <w:spacing w:line="240" w:lineRule="auto"/>
              <w:rPr>
                <w:rFonts w:cs="Arial"/>
                <w:b/>
                <w:i/>
                <w:szCs w:val="22"/>
              </w:rPr>
            </w:pPr>
            <w:r w:rsidRPr="00A77BAC">
              <w:rPr>
                <w:rFonts w:cs="Arial"/>
                <w:b/>
                <w:i/>
                <w:szCs w:val="22"/>
              </w:rPr>
              <w:t>14/03/2004</w:t>
            </w:r>
          </w:p>
        </w:tc>
        <w:tc>
          <w:tcPr>
            <w:tcW w:w="2881" w:type="dxa"/>
          </w:tcPr>
          <w:p w:rsidR="003B63AA" w:rsidRPr="00A77BAC" w:rsidRDefault="003B63AA" w:rsidP="003B63AA">
            <w:pPr>
              <w:spacing w:line="240" w:lineRule="auto"/>
              <w:rPr>
                <w:rFonts w:cs="Arial"/>
                <w:b/>
                <w:i/>
                <w:szCs w:val="22"/>
              </w:rPr>
            </w:pPr>
            <w:r w:rsidRPr="00A77BAC">
              <w:rPr>
                <w:rFonts w:cs="Arial"/>
                <w:b/>
                <w:i/>
                <w:szCs w:val="22"/>
              </w:rPr>
              <w:t>16/04/2004</w:t>
            </w:r>
          </w:p>
        </w:tc>
        <w:tc>
          <w:tcPr>
            <w:tcW w:w="2882" w:type="dxa"/>
          </w:tcPr>
          <w:p w:rsidR="003B63AA" w:rsidRPr="00A77BAC" w:rsidRDefault="003B63AA" w:rsidP="003B63AA">
            <w:pPr>
              <w:spacing w:line="240" w:lineRule="auto"/>
              <w:rPr>
                <w:rFonts w:cs="Arial"/>
                <w:b/>
                <w:i/>
                <w:szCs w:val="22"/>
              </w:rPr>
            </w:pPr>
            <w:r w:rsidRPr="00A77BAC">
              <w:rPr>
                <w:rFonts w:cs="Arial"/>
                <w:b/>
                <w:i/>
                <w:szCs w:val="22"/>
              </w:rPr>
              <w:t>18/04/2004</w:t>
            </w:r>
          </w:p>
        </w:tc>
      </w:tr>
      <w:tr w:rsidR="003B63AA" w:rsidRPr="00A77BAC" w:rsidTr="00F73397">
        <w:tc>
          <w:tcPr>
            <w:tcW w:w="2881" w:type="dxa"/>
          </w:tcPr>
          <w:p w:rsidR="003B63AA" w:rsidRPr="00A77BAC" w:rsidRDefault="003B63AA" w:rsidP="003B63AA">
            <w:pPr>
              <w:spacing w:line="240" w:lineRule="auto"/>
              <w:rPr>
                <w:rFonts w:cs="Arial"/>
                <w:szCs w:val="22"/>
              </w:rPr>
            </w:pPr>
            <w:r w:rsidRPr="00A77BAC">
              <w:rPr>
                <w:rFonts w:cs="Arial"/>
                <w:szCs w:val="22"/>
              </w:rPr>
              <w:t>09/03/2008</w:t>
            </w:r>
          </w:p>
        </w:tc>
        <w:tc>
          <w:tcPr>
            <w:tcW w:w="2881" w:type="dxa"/>
          </w:tcPr>
          <w:p w:rsidR="003B63AA" w:rsidRPr="00A77BAC" w:rsidRDefault="003B63AA" w:rsidP="003B63AA">
            <w:pPr>
              <w:spacing w:line="240" w:lineRule="auto"/>
              <w:rPr>
                <w:rFonts w:cs="Arial"/>
                <w:szCs w:val="22"/>
              </w:rPr>
            </w:pPr>
            <w:r w:rsidRPr="00A77BAC">
              <w:rPr>
                <w:rFonts w:cs="Arial"/>
                <w:szCs w:val="22"/>
              </w:rPr>
              <w:t>12/04/2008</w:t>
            </w:r>
          </w:p>
        </w:tc>
        <w:tc>
          <w:tcPr>
            <w:tcW w:w="2882" w:type="dxa"/>
          </w:tcPr>
          <w:p w:rsidR="003B63AA" w:rsidRPr="00A77BAC" w:rsidRDefault="003B63AA" w:rsidP="003B63AA">
            <w:pPr>
              <w:spacing w:line="240" w:lineRule="auto"/>
              <w:rPr>
                <w:rFonts w:cs="Arial"/>
                <w:szCs w:val="22"/>
              </w:rPr>
            </w:pPr>
            <w:r w:rsidRPr="00A77BAC">
              <w:rPr>
                <w:rFonts w:cs="Arial"/>
                <w:szCs w:val="22"/>
              </w:rPr>
              <w:t>14/04/2008</w:t>
            </w:r>
          </w:p>
        </w:tc>
      </w:tr>
      <w:tr w:rsidR="003B63AA" w:rsidRPr="00A77BAC" w:rsidTr="00F73397">
        <w:tc>
          <w:tcPr>
            <w:tcW w:w="2881" w:type="dxa"/>
          </w:tcPr>
          <w:p w:rsidR="003B63AA" w:rsidRPr="00A77BAC" w:rsidRDefault="003B63AA" w:rsidP="003B63AA">
            <w:pPr>
              <w:spacing w:line="240" w:lineRule="auto"/>
              <w:rPr>
                <w:rFonts w:cs="Arial"/>
                <w:b/>
                <w:i/>
                <w:szCs w:val="22"/>
              </w:rPr>
            </w:pPr>
            <w:r w:rsidRPr="00A77BAC">
              <w:rPr>
                <w:rFonts w:cs="Arial"/>
                <w:b/>
                <w:i/>
                <w:szCs w:val="22"/>
              </w:rPr>
              <w:t>20/11/2011</w:t>
            </w:r>
          </w:p>
        </w:tc>
        <w:tc>
          <w:tcPr>
            <w:tcW w:w="2881" w:type="dxa"/>
          </w:tcPr>
          <w:p w:rsidR="003B63AA" w:rsidRPr="00A77BAC" w:rsidRDefault="003B63AA" w:rsidP="003B63AA">
            <w:pPr>
              <w:spacing w:line="240" w:lineRule="auto"/>
              <w:rPr>
                <w:rFonts w:cs="Arial"/>
                <w:b/>
                <w:i/>
                <w:szCs w:val="22"/>
              </w:rPr>
            </w:pPr>
            <w:r w:rsidRPr="00A77BAC">
              <w:rPr>
                <w:rFonts w:cs="Arial"/>
                <w:b/>
                <w:i/>
                <w:szCs w:val="22"/>
              </w:rPr>
              <w:t>20/12/2011</w:t>
            </w:r>
          </w:p>
        </w:tc>
        <w:tc>
          <w:tcPr>
            <w:tcW w:w="2882" w:type="dxa"/>
          </w:tcPr>
          <w:p w:rsidR="003B63AA" w:rsidRPr="00A77BAC" w:rsidRDefault="003B63AA" w:rsidP="003B63AA">
            <w:pPr>
              <w:spacing w:line="240" w:lineRule="auto"/>
              <w:rPr>
                <w:rFonts w:cs="Arial"/>
                <w:b/>
                <w:i/>
                <w:szCs w:val="22"/>
              </w:rPr>
            </w:pPr>
            <w:r w:rsidRPr="00A77BAC">
              <w:rPr>
                <w:rFonts w:cs="Arial"/>
                <w:b/>
                <w:i/>
                <w:szCs w:val="22"/>
              </w:rPr>
              <w:t>21/12/2011</w:t>
            </w:r>
          </w:p>
        </w:tc>
      </w:tr>
    </w:tbl>
    <w:p w:rsidR="003B63AA" w:rsidRPr="00A77BAC" w:rsidRDefault="003B63AA" w:rsidP="003B63AA">
      <w:pPr>
        <w:spacing w:line="240" w:lineRule="auto"/>
        <w:rPr>
          <w:rFonts w:eastAsia="Calibri" w:cs="Arial"/>
          <w:szCs w:val="22"/>
          <w:lang w:eastAsia="en-US"/>
        </w:rPr>
      </w:pPr>
    </w:p>
    <w:p w:rsidR="003B63AA" w:rsidRPr="00A77BAC" w:rsidRDefault="003B63AA" w:rsidP="003B63AA">
      <w:pPr>
        <w:spacing w:line="240" w:lineRule="auto"/>
        <w:ind w:firstLine="708"/>
        <w:rPr>
          <w:rFonts w:eastAsia="Calibri" w:cs="Arial"/>
          <w:szCs w:val="22"/>
          <w:lang w:eastAsia="en-US"/>
        </w:rPr>
      </w:pPr>
      <w:r w:rsidRPr="00A77BAC">
        <w:rPr>
          <w:rFonts w:eastAsia="Calibri" w:cs="Arial"/>
          <w:szCs w:val="22"/>
          <w:lang w:eastAsia="en-US"/>
        </w:rPr>
        <w:t xml:space="preserve">En cursiva y negrita destacan los </w:t>
      </w:r>
      <w:r w:rsidR="00A77BAC">
        <w:rPr>
          <w:rFonts w:eastAsia="Calibri" w:cs="Arial"/>
          <w:szCs w:val="22"/>
          <w:lang w:eastAsia="en-US"/>
        </w:rPr>
        <w:t>casos en que se produjo cambio</w:t>
      </w:r>
      <w:r w:rsidRPr="00A77BAC">
        <w:rPr>
          <w:rFonts w:eastAsia="Calibri" w:cs="Arial"/>
          <w:szCs w:val="22"/>
          <w:lang w:eastAsia="en-US"/>
        </w:rPr>
        <w:t xml:space="preserve"> de </w:t>
      </w:r>
      <w:r w:rsidR="00A77BAC">
        <w:rPr>
          <w:rFonts w:eastAsia="Calibri" w:cs="Arial"/>
          <w:szCs w:val="22"/>
          <w:lang w:eastAsia="en-US"/>
        </w:rPr>
        <w:t>par</w:t>
      </w:r>
      <w:r w:rsidR="00EC5A4B">
        <w:rPr>
          <w:rFonts w:eastAsia="Calibri" w:cs="Arial"/>
          <w:szCs w:val="22"/>
          <w:lang w:eastAsia="en-US"/>
        </w:rPr>
        <w:t>t</w:t>
      </w:r>
      <w:r w:rsidR="00A77BAC">
        <w:rPr>
          <w:rFonts w:eastAsia="Calibri" w:cs="Arial"/>
          <w:szCs w:val="22"/>
          <w:lang w:eastAsia="en-US"/>
        </w:rPr>
        <w:t>ido</w:t>
      </w:r>
      <w:r w:rsidRPr="00A77BAC">
        <w:rPr>
          <w:rFonts w:eastAsia="Calibri" w:cs="Arial"/>
          <w:szCs w:val="22"/>
          <w:lang w:eastAsia="en-US"/>
        </w:rPr>
        <w:t xml:space="preserve"> político </w:t>
      </w:r>
      <w:r w:rsidR="00A77BAC">
        <w:rPr>
          <w:rFonts w:eastAsia="Calibri" w:cs="Arial"/>
          <w:szCs w:val="22"/>
          <w:lang w:eastAsia="en-US"/>
        </w:rPr>
        <w:t>en el</w:t>
      </w:r>
      <w:r w:rsidRPr="00A77BAC">
        <w:rPr>
          <w:rFonts w:eastAsia="Calibri" w:cs="Arial"/>
          <w:szCs w:val="22"/>
          <w:lang w:eastAsia="en-US"/>
        </w:rPr>
        <w:t xml:space="preserve"> Gobierno. </w:t>
      </w:r>
    </w:p>
    <w:p w:rsidR="00F158FA" w:rsidRPr="00A77BAC" w:rsidRDefault="00F158FA" w:rsidP="003B63AA">
      <w:pPr>
        <w:spacing w:line="240" w:lineRule="auto"/>
        <w:ind w:firstLine="708"/>
        <w:rPr>
          <w:rFonts w:eastAsia="Calibri" w:cs="Arial"/>
          <w:szCs w:val="22"/>
          <w:lang w:eastAsia="en-US"/>
        </w:rPr>
      </w:pPr>
    </w:p>
    <w:p w:rsidR="003B63AA" w:rsidRPr="00A77BAC" w:rsidRDefault="003B63AA" w:rsidP="003B63AA">
      <w:pPr>
        <w:spacing w:line="240" w:lineRule="auto"/>
        <w:ind w:firstLine="709"/>
        <w:rPr>
          <w:rFonts w:eastAsia="Calibri" w:cs="Arial"/>
          <w:szCs w:val="22"/>
          <w:lang w:eastAsia="en-US"/>
        </w:rPr>
      </w:pPr>
      <w:r w:rsidRPr="00A77BAC">
        <w:rPr>
          <w:rFonts w:eastAsia="Calibri" w:cs="Arial"/>
          <w:szCs w:val="22"/>
          <w:lang w:eastAsia="en-US"/>
        </w:rPr>
        <w:t xml:space="preserve">Se observa que el periodo que transcurre entre la fecha de celebración de elecciones y la fecha de toma de posesión de los miembros del nuevo Gobierno resulta breve y en todo caso no transcurre en ninguna de las legislaturas reseñadas un periodo superior a dos meses. </w:t>
      </w:r>
    </w:p>
    <w:p w:rsidR="00F158FA" w:rsidRPr="00A77BAC" w:rsidRDefault="00F158FA" w:rsidP="003B63AA">
      <w:pPr>
        <w:spacing w:line="240" w:lineRule="auto"/>
        <w:ind w:firstLine="709"/>
        <w:rPr>
          <w:rFonts w:eastAsia="Calibri" w:cs="Arial"/>
          <w:szCs w:val="22"/>
          <w:lang w:eastAsia="en-US"/>
        </w:rPr>
      </w:pPr>
    </w:p>
    <w:p w:rsidR="003B63AA" w:rsidRPr="00A77BAC" w:rsidRDefault="003B63AA" w:rsidP="003B63AA">
      <w:pPr>
        <w:spacing w:line="240" w:lineRule="auto"/>
        <w:rPr>
          <w:rFonts w:eastAsia="Calibri" w:cs="Arial"/>
          <w:b/>
          <w:szCs w:val="22"/>
          <w:u w:val="single"/>
          <w:lang w:eastAsia="en-US"/>
        </w:rPr>
      </w:pPr>
      <w:r w:rsidRPr="00A77BAC">
        <w:rPr>
          <w:rFonts w:eastAsia="Calibri" w:cs="Arial"/>
          <w:b/>
          <w:szCs w:val="22"/>
          <w:u w:val="single"/>
          <w:lang w:eastAsia="en-US"/>
        </w:rPr>
        <w:t>2.- Valoración de los asuntos tratados por el Consejo de Ministros en el período de gobierno en funciones.</w:t>
      </w:r>
    </w:p>
    <w:p w:rsidR="00F158FA" w:rsidRPr="00A77BAC" w:rsidRDefault="00F158FA" w:rsidP="003B63AA">
      <w:pPr>
        <w:spacing w:line="240" w:lineRule="auto"/>
        <w:rPr>
          <w:rFonts w:eastAsia="Calibri" w:cs="Arial"/>
          <w:b/>
          <w:szCs w:val="22"/>
          <w:u w:val="single"/>
          <w:lang w:eastAsia="en-US"/>
        </w:rPr>
      </w:pPr>
    </w:p>
    <w:p w:rsidR="003B63AA" w:rsidRPr="00A77BAC" w:rsidRDefault="003B63AA" w:rsidP="003B63AA">
      <w:pPr>
        <w:spacing w:line="240" w:lineRule="auto"/>
        <w:ind w:firstLine="709"/>
        <w:rPr>
          <w:rFonts w:eastAsia="Calibri" w:cs="Arial"/>
          <w:i/>
          <w:szCs w:val="22"/>
          <w:lang w:eastAsia="en-US"/>
        </w:rPr>
      </w:pPr>
      <w:r w:rsidRPr="00A77BAC">
        <w:rPr>
          <w:rFonts w:eastAsia="Calibri" w:cs="Arial"/>
          <w:szCs w:val="22"/>
          <w:lang w:eastAsia="en-US"/>
        </w:rPr>
        <w:t>A. La sentencia del Tribunal Supremo de 20 de septiembre de 2005 constituye un precedente jurisprudencial de la delimitación de lo que engloba el término de las “decisiones políticas” según lo previsto en el artículo 21 de la Ley 50/1997, de 27 de noviembre, del Gobierno (“</w:t>
      </w:r>
      <w:r w:rsidRPr="00A77BAC">
        <w:rPr>
          <w:rFonts w:eastAsia="Calibri" w:cs="Arial"/>
          <w:i/>
          <w:szCs w:val="22"/>
          <w:lang w:eastAsia="en-US"/>
        </w:rPr>
        <w:t>1. El Gobierno cesa tras la celebración de elecciones generales, en los casos de pérdida de confianza parlamentaria previstos en la Constitución, o por dimisión o fallecimiento de su Presidente.</w:t>
      </w:r>
    </w:p>
    <w:p w:rsidR="003B63AA" w:rsidRPr="00A77BAC" w:rsidRDefault="003B63AA" w:rsidP="003B63AA">
      <w:pPr>
        <w:spacing w:line="240" w:lineRule="auto"/>
        <w:ind w:firstLine="709"/>
        <w:rPr>
          <w:rFonts w:eastAsia="Calibri" w:cs="Arial"/>
          <w:i/>
          <w:szCs w:val="22"/>
          <w:lang w:eastAsia="en-US"/>
        </w:rPr>
      </w:pPr>
      <w:r w:rsidRPr="00A77BAC">
        <w:rPr>
          <w:rFonts w:eastAsia="Calibri" w:cs="Arial"/>
          <w:i/>
          <w:szCs w:val="22"/>
          <w:lang w:eastAsia="en-US"/>
        </w:rPr>
        <w:t>2. El Gobierno cesante continúa en funciones hasta la toma de posesión del nuevo Gobierno, con las limitaciones establecidas en esta Ley.</w:t>
      </w:r>
    </w:p>
    <w:p w:rsidR="003B63AA" w:rsidRPr="00A77BAC" w:rsidRDefault="003B63AA" w:rsidP="003B63AA">
      <w:pPr>
        <w:spacing w:line="240" w:lineRule="auto"/>
        <w:ind w:firstLine="709"/>
        <w:rPr>
          <w:rFonts w:eastAsia="Calibri" w:cs="Arial"/>
          <w:i/>
          <w:szCs w:val="22"/>
          <w:lang w:eastAsia="en-US"/>
        </w:rPr>
      </w:pPr>
      <w:r w:rsidRPr="00A77BAC">
        <w:rPr>
          <w:rFonts w:eastAsia="Calibri" w:cs="Arial"/>
          <w:i/>
          <w:szCs w:val="22"/>
          <w:lang w:eastAsia="en-US"/>
        </w:rPr>
        <w:t>3. El Gobierno en funciones facilitará el normal desarrollo del proceso de formación del nuevo Gobierno y el traspaso de poderes al mismo y limitará su gestión al despacho ordinario de los asuntos públicos, absteniéndose de adoptar, salvo casos de urgencia debidamente acreditados o por razones de interés general cuya acreditación expresa así lo justifique, cualesquiera otras medidas.</w:t>
      </w:r>
    </w:p>
    <w:p w:rsidR="003B63AA" w:rsidRPr="00A77BAC" w:rsidRDefault="003B63AA" w:rsidP="003B63AA">
      <w:pPr>
        <w:spacing w:line="240" w:lineRule="auto"/>
        <w:ind w:firstLine="709"/>
        <w:rPr>
          <w:rFonts w:eastAsia="Calibri" w:cs="Arial"/>
          <w:i/>
          <w:szCs w:val="22"/>
          <w:lang w:eastAsia="en-US"/>
        </w:rPr>
      </w:pPr>
      <w:r w:rsidRPr="00A77BAC">
        <w:rPr>
          <w:rFonts w:eastAsia="Calibri" w:cs="Arial"/>
          <w:i/>
          <w:szCs w:val="22"/>
          <w:lang w:eastAsia="en-US"/>
        </w:rPr>
        <w:t>4. El Presidente del Gobierno en funciones no podrá ejercer las siguientes facultades:</w:t>
      </w:r>
    </w:p>
    <w:p w:rsidR="003B63AA" w:rsidRPr="00A77BAC" w:rsidRDefault="003B63AA" w:rsidP="003B63AA">
      <w:pPr>
        <w:spacing w:line="240" w:lineRule="auto"/>
        <w:ind w:firstLine="709"/>
        <w:rPr>
          <w:rFonts w:eastAsia="Calibri" w:cs="Arial"/>
          <w:i/>
          <w:szCs w:val="22"/>
          <w:lang w:eastAsia="en-US"/>
        </w:rPr>
      </w:pPr>
      <w:r w:rsidRPr="00A77BAC">
        <w:rPr>
          <w:rFonts w:eastAsia="Calibri" w:cs="Arial"/>
          <w:i/>
          <w:szCs w:val="22"/>
          <w:lang w:eastAsia="en-US"/>
        </w:rPr>
        <w:t>a) Proponer al Rey la disolución de alguna de las Cámaras, o de las Cortes Generales.</w:t>
      </w:r>
    </w:p>
    <w:p w:rsidR="003B63AA" w:rsidRPr="00A77BAC" w:rsidRDefault="003B63AA" w:rsidP="003B63AA">
      <w:pPr>
        <w:spacing w:line="240" w:lineRule="auto"/>
        <w:ind w:firstLine="709"/>
        <w:rPr>
          <w:rFonts w:eastAsia="Calibri" w:cs="Arial"/>
          <w:i/>
          <w:szCs w:val="22"/>
          <w:lang w:eastAsia="en-US"/>
        </w:rPr>
      </w:pPr>
      <w:r w:rsidRPr="00A77BAC">
        <w:rPr>
          <w:rFonts w:eastAsia="Calibri" w:cs="Arial"/>
          <w:i/>
          <w:szCs w:val="22"/>
          <w:lang w:eastAsia="en-US"/>
        </w:rPr>
        <w:t>b) Plantear la cuestión de confianza.</w:t>
      </w:r>
    </w:p>
    <w:p w:rsidR="003B63AA" w:rsidRPr="00A77BAC" w:rsidRDefault="003B63AA" w:rsidP="003B63AA">
      <w:pPr>
        <w:spacing w:line="240" w:lineRule="auto"/>
        <w:ind w:firstLine="709"/>
        <w:rPr>
          <w:rFonts w:eastAsia="Calibri" w:cs="Arial"/>
          <w:i/>
          <w:szCs w:val="22"/>
          <w:lang w:eastAsia="en-US"/>
        </w:rPr>
      </w:pPr>
      <w:r w:rsidRPr="00A77BAC">
        <w:rPr>
          <w:rFonts w:eastAsia="Calibri" w:cs="Arial"/>
          <w:i/>
          <w:szCs w:val="22"/>
          <w:lang w:eastAsia="en-US"/>
        </w:rPr>
        <w:t>c) Proponer al Rey la convocatoria de un referéndum consultivo.</w:t>
      </w:r>
    </w:p>
    <w:p w:rsidR="003B63AA" w:rsidRPr="00A77BAC" w:rsidRDefault="003B63AA" w:rsidP="003B63AA">
      <w:pPr>
        <w:spacing w:line="240" w:lineRule="auto"/>
        <w:ind w:firstLine="709"/>
        <w:rPr>
          <w:rFonts w:eastAsia="Calibri" w:cs="Arial"/>
          <w:i/>
          <w:szCs w:val="22"/>
          <w:lang w:eastAsia="en-US"/>
        </w:rPr>
      </w:pPr>
      <w:r w:rsidRPr="00A77BAC">
        <w:rPr>
          <w:rFonts w:eastAsia="Calibri" w:cs="Arial"/>
          <w:i/>
          <w:szCs w:val="22"/>
          <w:lang w:eastAsia="en-US"/>
        </w:rPr>
        <w:t>5. El Gobierno en funciones no podrá ejercer las siguientes facultades:</w:t>
      </w:r>
    </w:p>
    <w:p w:rsidR="003B63AA" w:rsidRPr="00A77BAC" w:rsidRDefault="003B63AA" w:rsidP="003B63AA">
      <w:pPr>
        <w:spacing w:line="240" w:lineRule="auto"/>
        <w:ind w:firstLine="709"/>
        <w:rPr>
          <w:rFonts w:eastAsia="Calibri" w:cs="Arial"/>
          <w:i/>
          <w:szCs w:val="22"/>
          <w:lang w:eastAsia="en-US"/>
        </w:rPr>
      </w:pPr>
      <w:r w:rsidRPr="00A77BAC">
        <w:rPr>
          <w:rFonts w:eastAsia="Calibri" w:cs="Arial"/>
          <w:i/>
          <w:szCs w:val="22"/>
          <w:lang w:eastAsia="en-US"/>
        </w:rPr>
        <w:t>a) Aprobar el Proyecto de Ley de Presupuestos Generales del Estado.</w:t>
      </w:r>
    </w:p>
    <w:p w:rsidR="003B63AA" w:rsidRPr="00A77BAC" w:rsidRDefault="003B63AA" w:rsidP="003B63AA">
      <w:pPr>
        <w:spacing w:line="240" w:lineRule="auto"/>
        <w:ind w:firstLine="709"/>
        <w:rPr>
          <w:rFonts w:eastAsia="Calibri" w:cs="Arial"/>
          <w:i/>
          <w:szCs w:val="22"/>
          <w:lang w:eastAsia="en-US"/>
        </w:rPr>
      </w:pPr>
      <w:r w:rsidRPr="00A77BAC">
        <w:rPr>
          <w:rFonts w:eastAsia="Calibri" w:cs="Arial"/>
          <w:i/>
          <w:szCs w:val="22"/>
          <w:lang w:eastAsia="en-US"/>
        </w:rPr>
        <w:t>b) Presentar proyectos de ley al Congreso de los Diputados o, en su caso, al Senado.</w:t>
      </w:r>
    </w:p>
    <w:p w:rsidR="003B63AA" w:rsidRPr="00A77BAC" w:rsidRDefault="003B63AA" w:rsidP="003B63AA">
      <w:pPr>
        <w:spacing w:line="240" w:lineRule="auto"/>
        <w:ind w:firstLine="709"/>
        <w:rPr>
          <w:rFonts w:eastAsia="Calibri" w:cs="Arial"/>
          <w:szCs w:val="22"/>
          <w:lang w:eastAsia="en-US"/>
        </w:rPr>
      </w:pPr>
      <w:r w:rsidRPr="00A77BAC">
        <w:rPr>
          <w:rFonts w:eastAsia="Calibri" w:cs="Arial"/>
          <w:i/>
          <w:szCs w:val="22"/>
          <w:lang w:eastAsia="en-US"/>
        </w:rPr>
        <w:t>6. Las delegaciones legislativas otorgadas por las Cortes Generales quedarán en suspenso durante todo el tiempo que el Gobierno esté en funciones como consecuencia de la celeb</w:t>
      </w:r>
      <w:r w:rsidR="00F158FA" w:rsidRPr="00A77BAC">
        <w:rPr>
          <w:rFonts w:eastAsia="Calibri" w:cs="Arial"/>
          <w:i/>
          <w:szCs w:val="22"/>
          <w:lang w:eastAsia="en-US"/>
        </w:rPr>
        <w:t>ración de elecciones generales.</w:t>
      </w:r>
      <w:r w:rsidR="00F158FA" w:rsidRPr="00A77BAC">
        <w:rPr>
          <w:rFonts w:eastAsia="Calibri" w:cs="Arial"/>
          <w:szCs w:val="22"/>
          <w:lang w:eastAsia="en-US"/>
        </w:rPr>
        <w:t>”)</w:t>
      </w:r>
      <w:r w:rsidRPr="00A77BAC">
        <w:rPr>
          <w:rFonts w:eastAsia="Calibri" w:cs="Arial"/>
          <w:szCs w:val="22"/>
          <w:lang w:eastAsia="en-US"/>
        </w:rPr>
        <w:t xml:space="preserve"> </w:t>
      </w:r>
    </w:p>
    <w:p w:rsidR="00F158FA" w:rsidRPr="00A77BAC" w:rsidRDefault="00F158FA" w:rsidP="003B63AA">
      <w:pPr>
        <w:spacing w:line="240" w:lineRule="auto"/>
        <w:ind w:firstLine="709"/>
        <w:rPr>
          <w:rFonts w:eastAsia="Calibri" w:cs="Arial"/>
          <w:szCs w:val="22"/>
          <w:lang w:eastAsia="en-US"/>
        </w:rPr>
      </w:pPr>
    </w:p>
    <w:p w:rsidR="003B63AA" w:rsidRPr="00A77BAC" w:rsidRDefault="003B63AA" w:rsidP="003B63AA">
      <w:pPr>
        <w:spacing w:line="240" w:lineRule="auto"/>
        <w:ind w:firstLine="708"/>
        <w:rPr>
          <w:rFonts w:eastAsia="Calibri" w:cs="Arial"/>
          <w:szCs w:val="22"/>
          <w:lang w:eastAsia="en-US"/>
        </w:rPr>
      </w:pPr>
      <w:r w:rsidRPr="00A77BAC">
        <w:rPr>
          <w:rFonts w:eastAsia="Calibri" w:cs="Arial"/>
          <w:szCs w:val="22"/>
          <w:lang w:eastAsia="en-US"/>
        </w:rPr>
        <w:t>Dicha sentencia examinaba la legalidad de una extradición pasiva autorizada por el Gobierno en funciones en 2004, que había sido recurrida por tratarse de un acto de soberanía del Gobierno en relación con otros Estados. El Tribunal Supremo confirma esta interpretación puesto que con ello se “</w:t>
      </w:r>
      <w:r w:rsidRPr="00A77BAC">
        <w:rPr>
          <w:rFonts w:eastAsia="Calibri" w:cs="Arial"/>
          <w:i/>
          <w:szCs w:val="22"/>
          <w:lang w:eastAsia="en-US"/>
        </w:rPr>
        <w:t>priva al futuro Gobierno de una decisión política que en el ejercicio de su soberanía nacional le corresponde en orden a conceder o denegar la extradición pasiva</w:t>
      </w:r>
      <w:r w:rsidRPr="00A77BAC">
        <w:rPr>
          <w:rFonts w:eastAsia="Calibri" w:cs="Arial"/>
          <w:szCs w:val="22"/>
          <w:lang w:eastAsia="en-US"/>
        </w:rPr>
        <w:t xml:space="preserve">”. </w:t>
      </w:r>
    </w:p>
    <w:p w:rsidR="00F158FA" w:rsidRPr="00A77BAC" w:rsidRDefault="00F158FA" w:rsidP="003B63AA">
      <w:pPr>
        <w:spacing w:line="240" w:lineRule="auto"/>
        <w:ind w:firstLine="708"/>
        <w:rPr>
          <w:rFonts w:eastAsia="Calibri" w:cs="Arial"/>
          <w:szCs w:val="22"/>
          <w:lang w:eastAsia="en-US"/>
        </w:rPr>
      </w:pPr>
    </w:p>
    <w:p w:rsidR="003B63AA" w:rsidRPr="00A77BAC" w:rsidRDefault="003B63AA" w:rsidP="00F158FA">
      <w:pPr>
        <w:spacing w:line="240" w:lineRule="auto"/>
        <w:ind w:firstLine="708"/>
        <w:rPr>
          <w:rFonts w:eastAsia="Calibri" w:cs="Arial"/>
          <w:szCs w:val="22"/>
          <w:lang w:eastAsia="en-US"/>
        </w:rPr>
      </w:pPr>
      <w:r w:rsidRPr="00A77BAC">
        <w:rPr>
          <w:rFonts w:eastAsia="Calibri" w:cs="Arial"/>
          <w:szCs w:val="22"/>
          <w:lang w:eastAsia="en-US"/>
        </w:rPr>
        <w:lastRenderedPageBreak/>
        <w:t xml:space="preserve">Por lo que se refiere a los criterios de interpretación del artículo 21 de la Ley 50/1997, </w:t>
      </w:r>
      <w:r w:rsidR="00F158FA" w:rsidRPr="00A77BAC">
        <w:rPr>
          <w:rFonts w:eastAsia="Calibri" w:cs="Arial"/>
          <w:szCs w:val="22"/>
          <w:lang w:eastAsia="en-US"/>
        </w:rPr>
        <w:t xml:space="preserve">de 27 de noviembre, </w:t>
      </w:r>
      <w:r w:rsidRPr="00A77BAC">
        <w:rPr>
          <w:rFonts w:eastAsia="Calibri" w:cs="Arial"/>
          <w:szCs w:val="22"/>
          <w:lang w:eastAsia="en-US"/>
        </w:rPr>
        <w:t>incluye “</w:t>
      </w:r>
      <w:r w:rsidRPr="00A77BAC">
        <w:rPr>
          <w:rFonts w:eastAsia="Calibri" w:cs="Arial"/>
          <w:i/>
          <w:szCs w:val="22"/>
          <w:lang w:eastAsia="en-US"/>
        </w:rPr>
        <w:t>la gestión administrativa ordinaria ausente de valoraciones y decisiones en las que entren criterios políticos salvo que se motive debidamente la urgencia o las razones de interés general que justifiquen la adopción de medidas de otra naturaleza</w:t>
      </w:r>
      <w:r w:rsidRPr="00A77BAC">
        <w:rPr>
          <w:rFonts w:eastAsia="Calibri" w:cs="Arial"/>
          <w:szCs w:val="22"/>
          <w:lang w:eastAsia="en-US"/>
        </w:rPr>
        <w:t xml:space="preserve">”. </w:t>
      </w:r>
    </w:p>
    <w:p w:rsidR="00F158FA" w:rsidRPr="00A77BAC" w:rsidRDefault="00F158FA" w:rsidP="003B63AA">
      <w:pPr>
        <w:spacing w:line="240" w:lineRule="auto"/>
        <w:rPr>
          <w:rFonts w:eastAsia="Calibri" w:cs="Arial"/>
          <w:szCs w:val="22"/>
          <w:lang w:eastAsia="en-US"/>
        </w:rPr>
      </w:pPr>
    </w:p>
    <w:p w:rsidR="00F158FA" w:rsidRPr="00A77BAC" w:rsidRDefault="003B63AA" w:rsidP="00F158FA">
      <w:pPr>
        <w:spacing w:line="240" w:lineRule="auto"/>
        <w:ind w:firstLine="708"/>
        <w:rPr>
          <w:rFonts w:eastAsia="Calibri" w:cs="Arial"/>
          <w:szCs w:val="22"/>
          <w:lang w:eastAsia="en-US"/>
        </w:rPr>
      </w:pPr>
      <w:r w:rsidRPr="00A77BAC">
        <w:rPr>
          <w:rFonts w:eastAsia="Calibri" w:cs="Arial"/>
          <w:szCs w:val="22"/>
          <w:lang w:eastAsia="en-US"/>
        </w:rPr>
        <w:t>B. Por lo que se refiere a la práctica seguida desde un punto de vista formal, en todas las legislaturas consideradas se han aprobado tanto normas (Reales Decretos y modificacione</w:t>
      </w:r>
      <w:r w:rsidR="00F158FA" w:rsidRPr="00A77BAC">
        <w:rPr>
          <w:rFonts w:eastAsia="Calibri" w:cs="Arial"/>
          <w:szCs w:val="22"/>
          <w:lang w:eastAsia="en-US"/>
        </w:rPr>
        <w:t>s puntuales de Reales Decretos-l</w:t>
      </w:r>
      <w:r w:rsidRPr="00A77BAC">
        <w:rPr>
          <w:rFonts w:eastAsia="Calibri" w:cs="Arial"/>
          <w:szCs w:val="22"/>
          <w:lang w:eastAsia="en-US"/>
        </w:rPr>
        <w:t xml:space="preserve">eyes) como acuerdos. </w:t>
      </w:r>
    </w:p>
    <w:p w:rsidR="00F158FA" w:rsidRPr="00A77BAC" w:rsidRDefault="00F158FA" w:rsidP="00F158FA">
      <w:pPr>
        <w:spacing w:line="240" w:lineRule="auto"/>
        <w:ind w:firstLine="708"/>
        <w:rPr>
          <w:rFonts w:eastAsia="Calibri" w:cs="Arial"/>
          <w:szCs w:val="22"/>
          <w:lang w:eastAsia="en-US"/>
        </w:rPr>
      </w:pPr>
    </w:p>
    <w:p w:rsidR="003B63AA" w:rsidRPr="00A77BAC" w:rsidRDefault="003B63AA" w:rsidP="00F158FA">
      <w:pPr>
        <w:spacing w:line="240" w:lineRule="auto"/>
        <w:ind w:firstLine="708"/>
        <w:rPr>
          <w:rFonts w:eastAsia="Calibri" w:cs="Arial"/>
          <w:szCs w:val="22"/>
          <w:lang w:eastAsia="en-US"/>
        </w:rPr>
      </w:pPr>
      <w:r w:rsidRPr="00A77BAC">
        <w:rPr>
          <w:rFonts w:eastAsia="Calibri" w:cs="Arial"/>
          <w:szCs w:val="22"/>
          <w:lang w:eastAsia="en-US"/>
        </w:rPr>
        <w:t>En cuanto a los asuntos tratados por el Consejo de Ministros se incluyen como práctica habitual los siguientes:</w:t>
      </w:r>
    </w:p>
    <w:p w:rsidR="00F158FA" w:rsidRPr="00A77BAC" w:rsidRDefault="00F158FA" w:rsidP="00F158FA">
      <w:pPr>
        <w:spacing w:line="240" w:lineRule="auto"/>
        <w:ind w:firstLine="708"/>
        <w:rPr>
          <w:rFonts w:eastAsia="Calibri" w:cs="Arial"/>
          <w:szCs w:val="22"/>
          <w:lang w:eastAsia="en-US"/>
        </w:rPr>
      </w:pPr>
    </w:p>
    <w:p w:rsidR="003B63AA" w:rsidRPr="00A77BAC" w:rsidRDefault="00F158FA" w:rsidP="00F158FA">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Materia judicial: indultos, condecoraciones </w:t>
      </w:r>
      <w:r w:rsidRPr="00A77BAC">
        <w:rPr>
          <w:rFonts w:eastAsia="Calibri" w:cs="Arial"/>
          <w:szCs w:val="22"/>
          <w:lang w:eastAsia="en-US"/>
        </w:rPr>
        <w:t>y procedimientos de extradición.</w:t>
      </w:r>
    </w:p>
    <w:p w:rsidR="003B63AA" w:rsidRPr="00A77BAC" w:rsidRDefault="00F158FA" w:rsidP="00F158FA">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Materia financiera: uso del Fondo de contingencia, convalidaciones de gastos, compromisos de gasto con cargo a ejercicios futuros, anticipos de tesorería para com</w:t>
      </w:r>
      <w:r w:rsidRPr="00A77BAC">
        <w:rPr>
          <w:rFonts w:eastAsia="Calibri" w:cs="Arial"/>
          <w:szCs w:val="22"/>
          <w:lang w:eastAsia="en-US"/>
        </w:rPr>
        <w:t>unidades autónomas, autorizaciones</w:t>
      </w:r>
      <w:r w:rsidR="003B63AA" w:rsidRPr="00A77BAC">
        <w:rPr>
          <w:rFonts w:eastAsia="Calibri" w:cs="Arial"/>
          <w:szCs w:val="22"/>
          <w:lang w:eastAsia="en-US"/>
        </w:rPr>
        <w:t xml:space="preserve"> de endeudamiento a medio y largo pla</w:t>
      </w:r>
      <w:r w:rsidRPr="00A77BAC">
        <w:rPr>
          <w:rFonts w:eastAsia="Calibri" w:cs="Arial"/>
          <w:szCs w:val="22"/>
          <w:lang w:eastAsia="en-US"/>
        </w:rPr>
        <w:t>zo de las comunidades autónomas y</w:t>
      </w:r>
      <w:r w:rsidR="003B63AA" w:rsidRPr="00A77BAC">
        <w:rPr>
          <w:rFonts w:eastAsia="Calibri" w:cs="Arial"/>
          <w:szCs w:val="22"/>
          <w:lang w:eastAsia="en-US"/>
        </w:rPr>
        <w:t xml:space="preserve"> subvenciones directas. </w:t>
      </w:r>
    </w:p>
    <w:p w:rsidR="003B63AA" w:rsidRPr="00A77BAC" w:rsidRDefault="00F158FA" w:rsidP="00F158FA">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Materia contractual y convencional: modificaci</w:t>
      </w:r>
      <w:r w:rsidR="00A77BAC">
        <w:rPr>
          <w:rFonts w:eastAsia="Calibri" w:cs="Arial"/>
          <w:szCs w:val="22"/>
          <w:lang w:eastAsia="en-US"/>
        </w:rPr>
        <w:t>ones</w:t>
      </w:r>
      <w:r w:rsidR="003B63AA" w:rsidRPr="00A77BAC">
        <w:rPr>
          <w:rFonts w:eastAsia="Calibri" w:cs="Arial"/>
          <w:szCs w:val="22"/>
          <w:lang w:eastAsia="en-US"/>
        </w:rPr>
        <w:t xml:space="preserve"> de contratos, actuaciones de emergencia, aprobaciones/modificaciones de convenios de colabo</w:t>
      </w:r>
      <w:r w:rsidRPr="00A77BAC">
        <w:rPr>
          <w:rFonts w:eastAsia="Calibri" w:cs="Arial"/>
          <w:szCs w:val="22"/>
          <w:lang w:eastAsia="en-US"/>
        </w:rPr>
        <w:t>ración y encomiendas de gestión.</w:t>
      </w:r>
      <w:r w:rsidR="003B63AA" w:rsidRPr="00A77BAC">
        <w:rPr>
          <w:rFonts w:eastAsia="Calibri" w:cs="Arial"/>
          <w:szCs w:val="22"/>
          <w:lang w:eastAsia="en-US"/>
        </w:rPr>
        <w:t xml:space="preserve"> </w:t>
      </w:r>
    </w:p>
    <w:p w:rsidR="003B63AA" w:rsidRPr="00A77BAC" w:rsidRDefault="00F158FA" w:rsidP="00F158FA">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Materia de recursos interpuestos por los ciudadanos</w:t>
      </w:r>
      <w:r w:rsidR="00A77BAC">
        <w:rPr>
          <w:rFonts w:eastAsia="Calibri" w:cs="Arial"/>
          <w:szCs w:val="22"/>
          <w:lang w:eastAsia="en-US"/>
        </w:rPr>
        <w:t>: resoluciones</w:t>
      </w:r>
      <w:r w:rsidR="003B63AA" w:rsidRPr="00A77BAC">
        <w:rPr>
          <w:rFonts w:eastAsia="Calibri" w:cs="Arial"/>
          <w:szCs w:val="22"/>
          <w:lang w:eastAsia="en-US"/>
        </w:rPr>
        <w:t xml:space="preserve"> de expedientes de responsabilidad patrimon</w:t>
      </w:r>
      <w:r w:rsidRPr="00A77BAC">
        <w:rPr>
          <w:rFonts w:eastAsia="Calibri" w:cs="Arial"/>
          <w:szCs w:val="22"/>
          <w:lang w:eastAsia="en-US"/>
        </w:rPr>
        <w:t xml:space="preserve">ial o en el ámbito sancionador y </w:t>
      </w:r>
      <w:r w:rsidR="003B63AA" w:rsidRPr="00A77BAC">
        <w:rPr>
          <w:rFonts w:eastAsia="Calibri" w:cs="Arial"/>
          <w:szCs w:val="22"/>
          <w:lang w:eastAsia="en-US"/>
        </w:rPr>
        <w:t xml:space="preserve">recursos de revisión. </w:t>
      </w:r>
    </w:p>
    <w:p w:rsidR="003B63AA" w:rsidRPr="00A77BAC" w:rsidRDefault="00F158FA" w:rsidP="00F158FA">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Nombramientos/ceses/condecoraciones. </w:t>
      </w:r>
    </w:p>
    <w:p w:rsidR="00F158FA" w:rsidRPr="00A77BAC" w:rsidRDefault="00F158FA" w:rsidP="00F158FA">
      <w:pPr>
        <w:spacing w:line="240" w:lineRule="auto"/>
        <w:ind w:firstLine="709"/>
        <w:rPr>
          <w:rFonts w:eastAsia="Calibri" w:cs="Arial"/>
          <w:szCs w:val="22"/>
          <w:lang w:eastAsia="en-US"/>
        </w:rPr>
      </w:pPr>
    </w:p>
    <w:p w:rsidR="003B63AA" w:rsidRPr="00A77BAC" w:rsidRDefault="003B63AA" w:rsidP="00F158FA">
      <w:pPr>
        <w:spacing w:line="240" w:lineRule="auto"/>
        <w:ind w:firstLine="708"/>
        <w:rPr>
          <w:rFonts w:eastAsia="Calibri" w:cs="Arial"/>
          <w:szCs w:val="22"/>
          <w:lang w:eastAsia="en-US"/>
        </w:rPr>
      </w:pPr>
      <w:r w:rsidRPr="00A77BAC">
        <w:rPr>
          <w:rFonts w:eastAsia="Calibri" w:cs="Arial"/>
          <w:szCs w:val="22"/>
          <w:lang w:eastAsia="en-US"/>
        </w:rPr>
        <w:t xml:space="preserve">En el traspaso de poderes </w:t>
      </w:r>
      <w:r w:rsidR="00C94B0E">
        <w:rPr>
          <w:rFonts w:eastAsia="Calibri" w:cs="Arial"/>
          <w:szCs w:val="22"/>
          <w:lang w:eastAsia="en-US"/>
        </w:rPr>
        <w:t>a la actual L</w:t>
      </w:r>
      <w:r w:rsidR="00F158FA" w:rsidRPr="00A77BAC">
        <w:rPr>
          <w:rFonts w:eastAsia="Calibri" w:cs="Arial"/>
          <w:szCs w:val="22"/>
          <w:lang w:eastAsia="en-US"/>
        </w:rPr>
        <w:t>egislatura</w:t>
      </w:r>
      <w:r w:rsidRPr="00A77BAC">
        <w:rPr>
          <w:rFonts w:eastAsia="Calibri" w:cs="Arial"/>
          <w:szCs w:val="22"/>
          <w:lang w:eastAsia="en-US"/>
        </w:rPr>
        <w:t xml:space="preserve"> (X), debe tenerse en cuenta que la inclusión de los asuntos en el orden del día del Consejo de Ministros en funciones fue consensuada entre el Gobierno saliente (PSOE) y el entrante (PP).  </w:t>
      </w:r>
      <w:r w:rsidR="00F158FA" w:rsidRPr="00A77BAC">
        <w:rPr>
          <w:rFonts w:eastAsia="Calibri" w:cs="Arial"/>
          <w:szCs w:val="22"/>
          <w:lang w:eastAsia="en-US"/>
        </w:rPr>
        <w:t>Se desconoce si esta práctica se produjo en el año 2004 en el que también hubo cambio de partido gobernante.</w:t>
      </w:r>
    </w:p>
    <w:p w:rsidR="00F158FA" w:rsidRPr="00A77BAC" w:rsidRDefault="00F158FA" w:rsidP="00F158FA">
      <w:pPr>
        <w:spacing w:line="240" w:lineRule="auto"/>
        <w:ind w:firstLine="708"/>
        <w:rPr>
          <w:rFonts w:eastAsia="Calibri" w:cs="Arial"/>
          <w:szCs w:val="22"/>
          <w:lang w:eastAsia="en-US"/>
        </w:rPr>
      </w:pPr>
    </w:p>
    <w:p w:rsidR="003B63AA" w:rsidRPr="00A77BAC" w:rsidRDefault="003B63AA" w:rsidP="00F158FA">
      <w:pPr>
        <w:spacing w:line="240" w:lineRule="auto"/>
        <w:ind w:firstLine="708"/>
        <w:rPr>
          <w:rFonts w:eastAsia="Calibri" w:cs="Arial"/>
          <w:szCs w:val="22"/>
          <w:lang w:eastAsia="en-US"/>
        </w:rPr>
      </w:pPr>
      <w:r w:rsidRPr="00A77BAC">
        <w:rPr>
          <w:rFonts w:eastAsia="Calibri" w:cs="Arial"/>
          <w:szCs w:val="22"/>
          <w:lang w:eastAsia="en-US"/>
        </w:rPr>
        <w:t>C. Además de lo anterior, destacan en una o varias legislaturas la suscripción de acuerdos internacion</w:t>
      </w:r>
      <w:r w:rsidR="00C94B0E">
        <w:rPr>
          <w:rFonts w:eastAsia="Calibri" w:cs="Arial"/>
          <w:szCs w:val="22"/>
          <w:lang w:eastAsia="en-US"/>
        </w:rPr>
        <w:t>ales (esencialmente bilaterales)</w:t>
      </w:r>
      <w:r w:rsidRPr="00A77BAC">
        <w:rPr>
          <w:rFonts w:eastAsia="Calibri" w:cs="Arial"/>
          <w:szCs w:val="22"/>
          <w:lang w:eastAsia="en-US"/>
        </w:rPr>
        <w:t>, créditos de ayuda al de</w:t>
      </w:r>
      <w:r w:rsidR="00C94B0E">
        <w:rPr>
          <w:rFonts w:eastAsia="Calibri" w:cs="Arial"/>
          <w:szCs w:val="22"/>
          <w:lang w:eastAsia="en-US"/>
        </w:rPr>
        <w:t>sarrollo y</w:t>
      </w:r>
      <w:r w:rsidRPr="00A77BAC">
        <w:rPr>
          <w:rFonts w:eastAsia="Calibri" w:cs="Arial"/>
          <w:szCs w:val="22"/>
          <w:lang w:eastAsia="en-US"/>
        </w:rPr>
        <w:t xml:space="preserve"> </w:t>
      </w:r>
      <w:r w:rsidR="00F158FA" w:rsidRPr="00A77BAC">
        <w:rPr>
          <w:rFonts w:eastAsia="Calibri" w:cs="Arial"/>
          <w:szCs w:val="22"/>
          <w:lang w:eastAsia="en-US"/>
        </w:rPr>
        <w:t>solicitudes al</w:t>
      </w:r>
      <w:r w:rsidRPr="00A77BAC">
        <w:rPr>
          <w:rFonts w:eastAsia="Calibri" w:cs="Arial"/>
          <w:szCs w:val="22"/>
          <w:lang w:eastAsia="en-US"/>
        </w:rPr>
        <w:t xml:space="preserve"> Presidente del Gobierno </w:t>
      </w:r>
      <w:r w:rsidR="00F158FA" w:rsidRPr="00A77BAC">
        <w:rPr>
          <w:rFonts w:eastAsia="Calibri" w:cs="Arial"/>
          <w:szCs w:val="22"/>
          <w:lang w:eastAsia="en-US"/>
        </w:rPr>
        <w:t xml:space="preserve">para </w:t>
      </w:r>
      <w:r w:rsidRPr="00A77BAC">
        <w:rPr>
          <w:rFonts w:eastAsia="Calibri" w:cs="Arial"/>
          <w:szCs w:val="22"/>
          <w:lang w:eastAsia="en-US"/>
        </w:rPr>
        <w:t xml:space="preserve">la interposición de recursos de inconstitucionalidad. </w:t>
      </w:r>
    </w:p>
    <w:p w:rsidR="003C67F1" w:rsidRPr="00A77BAC" w:rsidRDefault="003C67F1" w:rsidP="003B63AA">
      <w:pPr>
        <w:spacing w:line="240" w:lineRule="auto"/>
        <w:rPr>
          <w:rFonts w:eastAsia="Calibri" w:cs="Arial"/>
          <w:b/>
          <w:szCs w:val="22"/>
          <w:lang w:eastAsia="en-US"/>
        </w:rPr>
      </w:pPr>
    </w:p>
    <w:p w:rsidR="003B63AA" w:rsidRPr="00A77BAC" w:rsidRDefault="003B63AA" w:rsidP="003B63AA">
      <w:pPr>
        <w:spacing w:line="240" w:lineRule="auto"/>
        <w:rPr>
          <w:rFonts w:eastAsia="Calibri" w:cs="Arial"/>
          <w:b/>
          <w:szCs w:val="22"/>
          <w:u w:val="single"/>
          <w:lang w:eastAsia="en-US"/>
        </w:rPr>
      </w:pPr>
      <w:r w:rsidRPr="00A77BAC">
        <w:rPr>
          <w:rFonts w:eastAsia="Calibri" w:cs="Arial"/>
          <w:b/>
          <w:szCs w:val="22"/>
          <w:lang w:eastAsia="en-US"/>
        </w:rPr>
        <w:t xml:space="preserve">3.  </w:t>
      </w:r>
      <w:r w:rsidRPr="00A77BAC">
        <w:rPr>
          <w:rFonts w:eastAsia="Calibri" w:cs="Arial"/>
          <w:b/>
          <w:szCs w:val="22"/>
          <w:u w:val="single"/>
          <w:lang w:eastAsia="en-US"/>
        </w:rPr>
        <w:t>Detalle de los asuntos tratados por el Consejo de Ministros en funciones por legislatura</w:t>
      </w:r>
      <w:r w:rsidR="00F158FA" w:rsidRPr="00A77BAC">
        <w:rPr>
          <w:rFonts w:eastAsia="Calibri" w:cs="Arial"/>
          <w:b/>
          <w:szCs w:val="22"/>
          <w:u w:val="single"/>
          <w:lang w:eastAsia="en-US"/>
        </w:rPr>
        <w:t>.</w:t>
      </w:r>
    </w:p>
    <w:p w:rsidR="00F158FA" w:rsidRPr="00A77BAC" w:rsidRDefault="00F158FA" w:rsidP="003B63AA">
      <w:pPr>
        <w:spacing w:line="240" w:lineRule="auto"/>
        <w:rPr>
          <w:rFonts w:eastAsia="Calibri" w:cs="Arial"/>
          <w:b/>
          <w:szCs w:val="22"/>
          <w:u w:val="single"/>
          <w:lang w:eastAsia="en-US"/>
        </w:rPr>
      </w:pPr>
    </w:p>
    <w:p w:rsidR="00F158FA" w:rsidRPr="00A77BAC" w:rsidRDefault="003B63AA" w:rsidP="00F158FA">
      <w:pPr>
        <w:spacing w:line="240" w:lineRule="auto"/>
        <w:ind w:firstLine="708"/>
        <w:rPr>
          <w:rFonts w:eastAsia="Calibri" w:cs="Arial"/>
          <w:szCs w:val="22"/>
          <w:lang w:eastAsia="en-US"/>
        </w:rPr>
      </w:pPr>
      <w:r w:rsidRPr="00A77BAC">
        <w:rPr>
          <w:rFonts w:eastAsia="Calibri" w:cs="Arial"/>
          <w:szCs w:val="22"/>
          <w:lang w:eastAsia="en-US"/>
        </w:rPr>
        <w:t>En este apartado, se detallan sistemáticamente por legislatura los acuerdos y normas aprobados durante los periodos de Gobierno en funciones.</w:t>
      </w:r>
    </w:p>
    <w:p w:rsidR="003B63AA" w:rsidRPr="00A77BAC" w:rsidRDefault="003B63AA" w:rsidP="003B63AA">
      <w:pPr>
        <w:spacing w:line="240" w:lineRule="auto"/>
        <w:rPr>
          <w:rFonts w:eastAsia="Calibri" w:cs="Arial"/>
          <w:szCs w:val="22"/>
          <w:lang w:eastAsia="en-US"/>
        </w:rPr>
      </w:pPr>
      <w:r w:rsidRPr="00A77BAC">
        <w:rPr>
          <w:rFonts w:eastAsia="Calibri" w:cs="Arial"/>
          <w:szCs w:val="22"/>
          <w:lang w:eastAsia="en-US"/>
        </w:rPr>
        <w:t xml:space="preserve"> </w:t>
      </w:r>
    </w:p>
    <w:p w:rsidR="003B63AA" w:rsidRPr="00A77BAC" w:rsidRDefault="00F158FA" w:rsidP="003B63AA">
      <w:pPr>
        <w:spacing w:line="240" w:lineRule="auto"/>
        <w:rPr>
          <w:rFonts w:eastAsia="Calibri" w:cs="Arial"/>
          <w:b/>
          <w:szCs w:val="22"/>
          <w:u w:val="single"/>
          <w:lang w:eastAsia="en-US"/>
        </w:rPr>
      </w:pPr>
      <w:r w:rsidRPr="00A77BAC">
        <w:rPr>
          <w:rFonts w:eastAsia="Calibri" w:cs="Arial"/>
          <w:b/>
          <w:szCs w:val="22"/>
          <w:u w:val="single"/>
          <w:lang w:eastAsia="en-US"/>
        </w:rPr>
        <w:t>3.1</w:t>
      </w:r>
      <w:r w:rsidR="003C67F1" w:rsidRPr="00A77BAC">
        <w:rPr>
          <w:rFonts w:eastAsia="Calibri" w:cs="Arial"/>
          <w:b/>
          <w:szCs w:val="22"/>
          <w:u w:val="single"/>
          <w:lang w:eastAsia="en-US"/>
        </w:rPr>
        <w:t>.</w:t>
      </w:r>
      <w:r w:rsidRPr="00A77BAC">
        <w:rPr>
          <w:rFonts w:eastAsia="Calibri" w:cs="Arial"/>
          <w:b/>
          <w:szCs w:val="22"/>
          <w:u w:val="single"/>
          <w:lang w:eastAsia="en-US"/>
        </w:rPr>
        <w:t xml:space="preserve"> VII L</w:t>
      </w:r>
      <w:r w:rsidR="003B63AA" w:rsidRPr="00A77BAC">
        <w:rPr>
          <w:rFonts w:eastAsia="Calibri" w:cs="Arial"/>
          <w:b/>
          <w:szCs w:val="22"/>
          <w:u w:val="single"/>
          <w:lang w:eastAsia="en-US"/>
        </w:rPr>
        <w:t>egislatura (2000)</w:t>
      </w:r>
      <w:r w:rsidRPr="00A77BAC">
        <w:rPr>
          <w:rFonts w:eastAsia="Calibri" w:cs="Arial"/>
          <w:b/>
          <w:szCs w:val="22"/>
          <w:u w:val="single"/>
          <w:lang w:eastAsia="en-US"/>
        </w:rPr>
        <w:t>.</w:t>
      </w:r>
    </w:p>
    <w:p w:rsidR="00F158FA" w:rsidRPr="00A77BAC" w:rsidRDefault="00F158FA" w:rsidP="003B63AA">
      <w:pPr>
        <w:spacing w:line="240" w:lineRule="auto"/>
        <w:rPr>
          <w:rFonts w:eastAsia="Calibri" w:cs="Arial"/>
          <w:b/>
          <w:szCs w:val="22"/>
          <w:lang w:eastAsia="en-US"/>
        </w:rPr>
      </w:pPr>
    </w:p>
    <w:p w:rsidR="003B63AA" w:rsidRPr="00A77BAC" w:rsidRDefault="003B63AA" w:rsidP="003C67F1">
      <w:pPr>
        <w:spacing w:line="240" w:lineRule="auto"/>
        <w:ind w:firstLine="708"/>
        <w:rPr>
          <w:rFonts w:eastAsia="Calibri" w:cs="Arial"/>
          <w:szCs w:val="22"/>
          <w:lang w:eastAsia="en-US"/>
        </w:rPr>
      </w:pPr>
      <w:r w:rsidRPr="00A77BAC">
        <w:rPr>
          <w:rFonts w:eastAsia="Calibri" w:cs="Arial"/>
          <w:szCs w:val="22"/>
          <w:lang w:eastAsia="en-US"/>
        </w:rPr>
        <w:t>El Consejo de Ministros aprobó acuerdos y normas sobre las siguientes cuestiones:</w:t>
      </w:r>
    </w:p>
    <w:p w:rsidR="003C67F1" w:rsidRPr="00A77BAC" w:rsidRDefault="003C67F1" w:rsidP="003C67F1">
      <w:pPr>
        <w:spacing w:line="240" w:lineRule="auto"/>
        <w:ind w:firstLine="708"/>
        <w:rPr>
          <w:rFonts w:eastAsia="Calibri" w:cs="Arial"/>
          <w:szCs w:val="22"/>
          <w:lang w:eastAsia="en-US"/>
        </w:rPr>
      </w:pPr>
    </w:p>
    <w:p w:rsidR="003B63AA" w:rsidRPr="00A77BAC" w:rsidRDefault="003C67F1" w:rsidP="003C67F1">
      <w:pPr>
        <w:spacing w:line="240" w:lineRule="auto"/>
        <w:ind w:firstLine="708"/>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Materia </w:t>
      </w:r>
      <w:r w:rsidRPr="00A77BAC">
        <w:rPr>
          <w:rFonts w:eastAsia="Calibri" w:cs="Arial"/>
          <w:szCs w:val="22"/>
          <w:lang w:eastAsia="en-US"/>
        </w:rPr>
        <w:t>j</w:t>
      </w:r>
      <w:r w:rsidR="003B63AA" w:rsidRPr="00A77BAC">
        <w:rPr>
          <w:rFonts w:eastAsia="Calibri" w:cs="Arial"/>
          <w:szCs w:val="22"/>
          <w:lang w:eastAsia="en-US"/>
        </w:rPr>
        <w:t xml:space="preserve">udicial: indultos (concesiones y denegaciones), procedimientos de </w:t>
      </w:r>
      <w:r w:rsidRPr="00A77BAC">
        <w:rPr>
          <w:rFonts w:eastAsia="Calibri" w:cs="Arial"/>
          <w:szCs w:val="22"/>
          <w:lang w:eastAsia="en-US"/>
        </w:rPr>
        <w:t xml:space="preserve">extradición (activas y pasivas) y </w:t>
      </w:r>
      <w:r w:rsidR="003B63AA" w:rsidRPr="00A77BAC">
        <w:rPr>
          <w:rFonts w:eastAsia="Calibri" w:cs="Arial"/>
          <w:szCs w:val="22"/>
          <w:lang w:eastAsia="en-US"/>
        </w:rPr>
        <w:t xml:space="preserve"> traslado de personas condenadas</w:t>
      </w:r>
      <w:r w:rsidRPr="00A77BAC">
        <w:rPr>
          <w:rFonts w:eastAsia="Calibri" w:cs="Arial"/>
          <w:szCs w:val="22"/>
          <w:lang w:eastAsia="en-US"/>
        </w:rPr>
        <w:t>.</w:t>
      </w:r>
    </w:p>
    <w:p w:rsidR="003B63AA" w:rsidRPr="00A77BAC" w:rsidRDefault="003C67F1" w:rsidP="003C67F1">
      <w:pPr>
        <w:spacing w:line="240" w:lineRule="auto"/>
        <w:ind w:firstLine="708"/>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Materia financiera: ampliación </w:t>
      </w:r>
      <w:r w:rsidRPr="00A77BAC">
        <w:rPr>
          <w:rFonts w:eastAsia="Calibri" w:cs="Arial"/>
          <w:szCs w:val="22"/>
          <w:lang w:eastAsia="en-US"/>
        </w:rPr>
        <w:t>del</w:t>
      </w:r>
      <w:r w:rsidR="003B63AA" w:rsidRPr="00A77BAC">
        <w:rPr>
          <w:rFonts w:eastAsia="Calibri" w:cs="Arial"/>
          <w:szCs w:val="22"/>
          <w:lang w:eastAsia="en-US"/>
        </w:rPr>
        <w:t xml:space="preserve"> programa de emisiones de bonos y obligaciones (a Andalucía</w:t>
      </w:r>
      <w:r w:rsidRPr="00A77BAC">
        <w:rPr>
          <w:rFonts w:eastAsia="Calibri" w:cs="Arial"/>
          <w:szCs w:val="22"/>
          <w:lang w:eastAsia="en-US"/>
        </w:rPr>
        <w:t xml:space="preserve"> por un importe de 480.809.683,</w:t>
      </w:r>
      <w:r w:rsidR="003B63AA" w:rsidRPr="00A77BAC">
        <w:rPr>
          <w:rFonts w:eastAsia="Calibri" w:cs="Arial"/>
          <w:szCs w:val="22"/>
          <w:lang w:eastAsia="en-US"/>
        </w:rPr>
        <w:t>50 euros y a Galicia por 264.668.000 euros), modificaciones presupuestarias (suplementos de crédito para programas de juventud y del presupuesto del Consejo Superior de  Deportes), aprobación de gastos por importe de 38.132.900.000 pesetas a favor del Consorcio de Compensación de Seguros, modificación de</w:t>
      </w:r>
      <w:r w:rsidRPr="00A77BAC">
        <w:rPr>
          <w:rFonts w:eastAsia="Calibri" w:cs="Arial"/>
          <w:szCs w:val="22"/>
          <w:lang w:eastAsia="en-US"/>
        </w:rPr>
        <w:t>l</w:t>
      </w:r>
      <w:r w:rsidR="003B63AA" w:rsidRPr="00A77BAC">
        <w:rPr>
          <w:rFonts w:eastAsia="Calibri" w:cs="Arial"/>
          <w:szCs w:val="22"/>
          <w:lang w:eastAsia="en-US"/>
        </w:rPr>
        <w:t xml:space="preserve"> límite de gasto plurianual con cargo a ejercicios futuros </w:t>
      </w:r>
      <w:r w:rsidRPr="00A77BAC">
        <w:rPr>
          <w:rFonts w:eastAsia="Calibri" w:cs="Arial"/>
          <w:szCs w:val="22"/>
          <w:lang w:eastAsia="en-US"/>
        </w:rPr>
        <w:t>(Instituto Social de la Marina) y</w:t>
      </w:r>
      <w:r w:rsidR="003B63AA" w:rsidRPr="00A77BAC">
        <w:rPr>
          <w:rFonts w:eastAsia="Calibri" w:cs="Arial"/>
          <w:szCs w:val="22"/>
          <w:lang w:eastAsia="en-US"/>
        </w:rPr>
        <w:t xml:space="preserve"> subvención directa a la Fundación para la Formación Continua (importe de 5.304 millones de pesetas). </w:t>
      </w:r>
    </w:p>
    <w:p w:rsidR="003B63AA" w:rsidRPr="00A77BAC" w:rsidRDefault="003C67F1" w:rsidP="003C67F1">
      <w:pPr>
        <w:spacing w:line="240" w:lineRule="auto"/>
        <w:ind w:firstLine="708"/>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Materia contractual y convencional: contratos de obras (corredor Madrid-Mediterráneo, AVE Madrid-Barcelona-Francia). </w:t>
      </w:r>
    </w:p>
    <w:p w:rsidR="003B63AA" w:rsidRPr="00A77BAC" w:rsidRDefault="003C67F1" w:rsidP="003C67F1">
      <w:pPr>
        <w:spacing w:line="240" w:lineRule="auto"/>
        <w:ind w:firstLine="708"/>
        <w:rPr>
          <w:rFonts w:eastAsia="Calibri" w:cs="Arial"/>
          <w:szCs w:val="22"/>
          <w:lang w:eastAsia="en-US"/>
        </w:rPr>
      </w:pPr>
      <w:r w:rsidRPr="00A77BAC">
        <w:rPr>
          <w:rFonts w:eastAsia="Calibri" w:cs="Arial"/>
          <w:szCs w:val="22"/>
          <w:lang w:eastAsia="en-US"/>
        </w:rPr>
        <w:lastRenderedPageBreak/>
        <w:t xml:space="preserve">- </w:t>
      </w:r>
      <w:r w:rsidR="003B63AA" w:rsidRPr="00A77BAC">
        <w:rPr>
          <w:rFonts w:eastAsia="Calibri" w:cs="Arial"/>
          <w:szCs w:val="22"/>
          <w:lang w:eastAsia="en-US"/>
        </w:rPr>
        <w:t xml:space="preserve">Materia de recursos (partidos políticos): </w:t>
      </w:r>
      <w:r w:rsidR="00C94B0E">
        <w:rPr>
          <w:rFonts w:eastAsia="Calibri" w:cs="Arial"/>
          <w:szCs w:val="22"/>
          <w:lang w:eastAsia="en-US"/>
        </w:rPr>
        <w:t>acuerdo que resuelve</w:t>
      </w:r>
      <w:r w:rsidR="003B63AA" w:rsidRPr="00A77BAC">
        <w:rPr>
          <w:rFonts w:eastAsia="Calibri" w:cs="Arial"/>
          <w:szCs w:val="22"/>
          <w:lang w:eastAsia="en-US"/>
        </w:rPr>
        <w:t xml:space="preserve"> el recurso potestativo de reposición interpuesto por el Partido Comunista de España y por Izquierda Republicana contra el Acuerdo de Consejo de Ministros de 30 de diciembre de 1999, respecto a la restitución o compensación a los partidos políticos de bienes y derechos incautados en aplicación de la normativa sobre responsabilidades políticas del periodo 1936-1939.</w:t>
      </w:r>
    </w:p>
    <w:p w:rsidR="003B63AA" w:rsidRPr="00A77BAC" w:rsidRDefault="003C67F1" w:rsidP="003C67F1">
      <w:pPr>
        <w:spacing w:line="240" w:lineRule="auto"/>
        <w:ind w:firstLine="708"/>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Nombramientos/ ceses/ condecoraciones</w:t>
      </w:r>
      <w:r w:rsidRPr="00A77BAC">
        <w:rPr>
          <w:rFonts w:eastAsia="Calibri" w:cs="Arial"/>
          <w:szCs w:val="22"/>
          <w:lang w:eastAsia="en-US"/>
        </w:rPr>
        <w:t>.</w:t>
      </w:r>
    </w:p>
    <w:p w:rsidR="003C67F1" w:rsidRPr="00A77BAC" w:rsidRDefault="003C67F1" w:rsidP="003C67F1">
      <w:pPr>
        <w:spacing w:line="240" w:lineRule="auto"/>
        <w:ind w:firstLine="708"/>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Internacional: ayudas humanitarias de emergencia a Mozambique, y créditos con cargo </w:t>
      </w:r>
      <w:r w:rsidRPr="00A77BAC">
        <w:rPr>
          <w:rFonts w:eastAsia="Calibri" w:cs="Arial"/>
          <w:szCs w:val="22"/>
          <w:lang w:eastAsia="en-US"/>
        </w:rPr>
        <w:t>al Fondo</w:t>
      </w:r>
      <w:r w:rsidR="003B63AA" w:rsidRPr="00A77BAC">
        <w:rPr>
          <w:rFonts w:eastAsia="Calibri" w:cs="Arial"/>
          <w:szCs w:val="22"/>
          <w:lang w:eastAsia="en-US"/>
        </w:rPr>
        <w:t xml:space="preserve"> de Ayuda al Desarrollo a la República de Nicaragua, a la República de Honduras y a la República de El Salvador.</w:t>
      </w:r>
      <w:r w:rsidR="003B63AA" w:rsidRPr="00A77BAC">
        <w:rPr>
          <w:rFonts w:eastAsia="Calibri"/>
          <w:szCs w:val="22"/>
          <w:lang w:eastAsia="en-US"/>
        </w:rPr>
        <w:t xml:space="preserve"> </w:t>
      </w:r>
    </w:p>
    <w:p w:rsidR="003B63AA" w:rsidRPr="00A77BAC" w:rsidRDefault="003C67F1" w:rsidP="003C67F1">
      <w:pPr>
        <w:spacing w:line="240" w:lineRule="auto"/>
        <w:ind w:firstLine="708"/>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Medio ambiente y gestión hidráulica: Real Decreto por el que se fijan objetivos de calidad para determinadas sustancias contaminantes y se modifica el Reglamento de Dominio Público Hidráulico. Asimismo, Real Decreto </w:t>
      </w:r>
      <w:r w:rsidRPr="00A77BAC">
        <w:rPr>
          <w:rFonts w:eastAsia="Calibri" w:cs="Arial"/>
          <w:szCs w:val="22"/>
          <w:lang w:eastAsia="en-US"/>
        </w:rPr>
        <w:t xml:space="preserve">por el que </w:t>
      </w:r>
      <w:r w:rsidR="003B63AA" w:rsidRPr="00A77BAC">
        <w:rPr>
          <w:rFonts w:eastAsia="Calibri" w:cs="Arial"/>
          <w:szCs w:val="22"/>
          <w:lang w:eastAsia="en-US"/>
        </w:rPr>
        <w:t>se prohíbe la comercialización de gasolinas con plomo.</w:t>
      </w:r>
    </w:p>
    <w:p w:rsidR="003B63AA" w:rsidRPr="00A77BAC" w:rsidRDefault="003C67F1" w:rsidP="003C67F1">
      <w:pPr>
        <w:spacing w:line="240" w:lineRule="auto"/>
        <w:ind w:firstLine="708"/>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Vivienda: Real Decreto que modifica otro sobre medidas de financiación de actuaciones protegidas en materia de vivienda y suelo del Plan 1998-2001, y </w:t>
      </w:r>
      <w:r w:rsidR="00C94B0E">
        <w:rPr>
          <w:rFonts w:eastAsia="Calibri" w:cs="Arial"/>
          <w:szCs w:val="22"/>
          <w:lang w:eastAsia="en-US"/>
        </w:rPr>
        <w:t>acuerdo</w:t>
      </w:r>
      <w:r w:rsidR="003B63AA" w:rsidRPr="00A77BAC">
        <w:rPr>
          <w:rFonts w:eastAsia="Calibri" w:cs="Arial"/>
          <w:szCs w:val="22"/>
          <w:lang w:eastAsia="en-US"/>
        </w:rPr>
        <w:t xml:space="preserve"> que </w:t>
      </w:r>
      <w:r w:rsidR="00C94B0E">
        <w:rPr>
          <w:rFonts w:eastAsia="Calibri" w:cs="Arial"/>
          <w:szCs w:val="22"/>
          <w:lang w:eastAsia="en-US"/>
        </w:rPr>
        <w:t xml:space="preserve">fija </w:t>
      </w:r>
      <w:r w:rsidR="003B63AA" w:rsidRPr="00A77BAC">
        <w:rPr>
          <w:rFonts w:eastAsia="Calibri" w:cs="Arial"/>
          <w:szCs w:val="22"/>
          <w:lang w:eastAsia="en-US"/>
        </w:rPr>
        <w:t xml:space="preserve">el tipo de interés aplicable a los préstamos cualificados concedidos por las entidades de crédito para la financiación del Plan de </w:t>
      </w:r>
      <w:r w:rsidR="00C94B0E">
        <w:rPr>
          <w:rFonts w:eastAsia="Calibri" w:cs="Arial"/>
          <w:szCs w:val="22"/>
          <w:lang w:eastAsia="en-US"/>
        </w:rPr>
        <w:t>V</w:t>
      </w:r>
      <w:r w:rsidR="003B63AA" w:rsidRPr="00A77BAC">
        <w:rPr>
          <w:rFonts w:eastAsia="Calibri" w:cs="Arial"/>
          <w:szCs w:val="22"/>
          <w:lang w:eastAsia="en-US"/>
        </w:rPr>
        <w:t>ivienda 1996-1999 y Plan 1998-2001.</w:t>
      </w:r>
    </w:p>
    <w:p w:rsidR="003B63AA" w:rsidRPr="00A77BAC" w:rsidRDefault="003C67F1" w:rsidP="003C67F1">
      <w:pPr>
        <w:spacing w:line="240" w:lineRule="auto"/>
        <w:ind w:firstLine="708"/>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Sanidad:</w:t>
      </w:r>
      <w:r w:rsidR="003B63AA" w:rsidRPr="00A77BAC">
        <w:rPr>
          <w:rFonts w:eastAsia="Calibri"/>
          <w:szCs w:val="22"/>
          <w:lang w:eastAsia="en-US"/>
        </w:rPr>
        <w:t xml:space="preserve"> </w:t>
      </w:r>
      <w:r w:rsidR="003B63AA" w:rsidRPr="00A77BAC">
        <w:rPr>
          <w:rFonts w:eastAsia="Calibri" w:cs="Arial"/>
          <w:szCs w:val="22"/>
          <w:lang w:eastAsia="en-US"/>
        </w:rPr>
        <w:t xml:space="preserve">criterios objetivos de distribución de 400 millones pesetas entre comunidades autónomas, en concepto de subvención al desarrollo del programa de prevención y promoción de la salud, especialmente en el ámbito de las enfermedades emergentes, reemergentes y de especial relevancia, así como el Plan Nacional del Sida. </w:t>
      </w:r>
      <w:r w:rsidRPr="00A77BAC">
        <w:rPr>
          <w:rFonts w:eastAsia="Calibri" w:cs="Arial"/>
          <w:szCs w:val="22"/>
          <w:lang w:eastAsia="en-US"/>
        </w:rPr>
        <w:t>A</w:t>
      </w:r>
      <w:r w:rsidR="003B63AA" w:rsidRPr="00A77BAC">
        <w:rPr>
          <w:rFonts w:eastAsia="Calibri" w:cs="Arial"/>
          <w:szCs w:val="22"/>
          <w:lang w:eastAsia="en-US"/>
        </w:rPr>
        <w:t>cuerdo por el que se aprueba el acuerdo entre la Administración Sanitaria-</w:t>
      </w:r>
      <w:proofErr w:type="spellStart"/>
      <w:r w:rsidR="003B63AA" w:rsidRPr="00A77BAC">
        <w:rPr>
          <w:rFonts w:eastAsia="Calibri" w:cs="Arial"/>
          <w:szCs w:val="22"/>
          <w:lang w:eastAsia="en-US"/>
        </w:rPr>
        <w:t>Insalud</w:t>
      </w:r>
      <w:proofErr w:type="spellEnd"/>
      <w:r w:rsidR="003B63AA" w:rsidRPr="00A77BAC">
        <w:rPr>
          <w:rFonts w:eastAsia="Calibri" w:cs="Arial"/>
          <w:szCs w:val="22"/>
          <w:lang w:eastAsia="en-US"/>
        </w:rPr>
        <w:t xml:space="preserve"> y las organizaciones  sindicales presentes en la mesa sectorial de sanidad, sobre diversos asuntos relacionados con mejoras retributivas del personal estatutario.</w:t>
      </w:r>
      <w:r w:rsidR="003B63AA" w:rsidRPr="00A77BAC">
        <w:rPr>
          <w:rFonts w:eastAsia="Calibri"/>
          <w:szCs w:val="22"/>
          <w:lang w:eastAsia="en-US"/>
        </w:rPr>
        <w:t xml:space="preserve"> </w:t>
      </w:r>
    </w:p>
    <w:p w:rsidR="003B63AA" w:rsidRPr="00A77BAC" w:rsidRDefault="003C67F1" w:rsidP="003C67F1">
      <w:pPr>
        <w:spacing w:line="240" w:lineRule="auto"/>
        <w:ind w:firstLine="708"/>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Inconstitucionalidad: solicitud de interposición de recurso de inconstitucionalidad contra el presupuesto de Andalucía para el año 2000.</w:t>
      </w:r>
    </w:p>
    <w:p w:rsidR="003B63AA" w:rsidRPr="00A77BAC" w:rsidRDefault="003C67F1" w:rsidP="003C67F1">
      <w:pPr>
        <w:spacing w:line="240" w:lineRule="auto"/>
        <w:ind w:firstLine="708"/>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Otras materias: Real Decreto por el que se regula el cómputo en el régimen de Clases Pasivas del Estado de los periodos reconocidos como cotizados a la Seguridad Social, en favor de sacerdotes y religiosos o religiosas de la Iglesia Católica, secularizados.</w:t>
      </w:r>
    </w:p>
    <w:p w:rsidR="003C67F1" w:rsidRPr="00A77BAC" w:rsidRDefault="003C67F1" w:rsidP="003C67F1">
      <w:pPr>
        <w:spacing w:line="240" w:lineRule="auto"/>
        <w:rPr>
          <w:rFonts w:eastAsia="Calibri" w:cs="Arial"/>
          <w:szCs w:val="22"/>
          <w:lang w:eastAsia="en-US"/>
        </w:rPr>
      </w:pPr>
    </w:p>
    <w:p w:rsidR="003B63AA" w:rsidRPr="00C94B0E" w:rsidRDefault="003C67F1" w:rsidP="003B63AA">
      <w:pPr>
        <w:spacing w:line="240" w:lineRule="auto"/>
        <w:rPr>
          <w:rFonts w:eastAsia="Calibri" w:cs="Arial"/>
          <w:b/>
          <w:szCs w:val="22"/>
          <w:u w:val="single"/>
          <w:lang w:eastAsia="en-US"/>
        </w:rPr>
      </w:pPr>
      <w:r w:rsidRPr="00C94B0E">
        <w:rPr>
          <w:rFonts w:eastAsia="Calibri" w:cs="Arial"/>
          <w:b/>
          <w:szCs w:val="22"/>
          <w:u w:val="single"/>
          <w:lang w:eastAsia="en-US"/>
        </w:rPr>
        <w:t>3.2. VIII L</w:t>
      </w:r>
      <w:r w:rsidR="003B63AA" w:rsidRPr="00C94B0E">
        <w:rPr>
          <w:rFonts w:eastAsia="Calibri" w:cs="Arial"/>
          <w:b/>
          <w:szCs w:val="22"/>
          <w:u w:val="single"/>
          <w:lang w:eastAsia="en-US"/>
        </w:rPr>
        <w:t>egislatura (2004)</w:t>
      </w:r>
      <w:r w:rsidRPr="00C94B0E">
        <w:rPr>
          <w:rFonts w:eastAsia="Calibri" w:cs="Arial"/>
          <w:b/>
          <w:szCs w:val="22"/>
          <w:u w:val="single"/>
          <w:lang w:eastAsia="en-US"/>
        </w:rPr>
        <w:t>.</w:t>
      </w:r>
    </w:p>
    <w:p w:rsidR="003C67F1" w:rsidRPr="00C94B0E" w:rsidRDefault="003C67F1" w:rsidP="003B63AA">
      <w:pPr>
        <w:spacing w:line="240" w:lineRule="auto"/>
        <w:rPr>
          <w:rFonts w:eastAsia="Calibri" w:cs="Arial"/>
          <w:b/>
          <w:szCs w:val="22"/>
          <w:u w:val="single"/>
          <w:lang w:eastAsia="en-US"/>
        </w:rPr>
      </w:pPr>
    </w:p>
    <w:p w:rsidR="003B63AA" w:rsidRPr="00A77BAC" w:rsidRDefault="003B63AA" w:rsidP="003C67F1">
      <w:pPr>
        <w:spacing w:line="240" w:lineRule="auto"/>
        <w:ind w:firstLine="708"/>
        <w:rPr>
          <w:rFonts w:eastAsia="Calibri" w:cs="Arial"/>
          <w:szCs w:val="22"/>
          <w:lang w:eastAsia="en-US"/>
        </w:rPr>
      </w:pPr>
      <w:r w:rsidRPr="00A77BAC">
        <w:rPr>
          <w:rFonts w:eastAsia="Calibri" w:cs="Arial"/>
          <w:szCs w:val="22"/>
          <w:lang w:eastAsia="en-US"/>
        </w:rPr>
        <w:t>El Consejo de Ministros aprobó acuerdos y normas sobre las siguientes cuestiones:</w:t>
      </w:r>
    </w:p>
    <w:p w:rsidR="003C67F1" w:rsidRPr="00A77BAC" w:rsidRDefault="003C67F1" w:rsidP="003C67F1">
      <w:pPr>
        <w:spacing w:line="240" w:lineRule="auto"/>
        <w:ind w:firstLine="708"/>
        <w:rPr>
          <w:rFonts w:eastAsia="Calibri" w:cs="Arial"/>
          <w:szCs w:val="22"/>
          <w:lang w:eastAsia="en-US"/>
        </w:rPr>
      </w:pPr>
    </w:p>
    <w:p w:rsidR="003B63AA" w:rsidRPr="00A77BAC" w:rsidRDefault="003C67F1" w:rsidP="00B50021">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Materia judicial: indultos (concesiones y denegaciones), procedimientos de </w:t>
      </w:r>
      <w:r w:rsidR="00B50021" w:rsidRPr="00A77BAC">
        <w:rPr>
          <w:rFonts w:eastAsia="Calibri" w:cs="Arial"/>
          <w:szCs w:val="22"/>
          <w:lang w:eastAsia="en-US"/>
        </w:rPr>
        <w:t>extradición (activas y pasivas) y</w:t>
      </w:r>
      <w:r w:rsidR="003B63AA" w:rsidRPr="00A77BAC">
        <w:rPr>
          <w:rFonts w:eastAsia="Calibri" w:cs="Arial"/>
          <w:szCs w:val="22"/>
          <w:lang w:eastAsia="en-US"/>
        </w:rPr>
        <w:t xml:space="preserve"> traslado de personas condenadas. </w:t>
      </w:r>
    </w:p>
    <w:p w:rsidR="003C67F1" w:rsidRPr="00A77BAC" w:rsidRDefault="003C67F1" w:rsidP="00B50021">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Materia financiera: convalidaciones de gasto en las que destaca la contratación del equipamiento audiovisual con asistencia técnica, necesaria para la cobertura de los Funerales de Estado, celebrados el 24 de marzo. Por otra parte, la convalidación por diversos trabajos en el </w:t>
      </w:r>
      <w:r w:rsidR="00B50021" w:rsidRPr="00A77BAC">
        <w:rPr>
          <w:rFonts w:eastAsia="Calibri" w:cs="Arial"/>
          <w:szCs w:val="22"/>
          <w:lang w:eastAsia="en-US"/>
        </w:rPr>
        <w:t>buque “</w:t>
      </w:r>
      <w:proofErr w:type="spellStart"/>
      <w:r w:rsidR="00B50021" w:rsidRPr="00A77BAC">
        <w:rPr>
          <w:rFonts w:eastAsia="Calibri" w:cs="Arial"/>
          <w:szCs w:val="22"/>
          <w:lang w:eastAsia="en-US"/>
        </w:rPr>
        <w:t>Prestige</w:t>
      </w:r>
      <w:proofErr w:type="spellEnd"/>
      <w:r w:rsidR="00B50021" w:rsidRPr="00A77BAC">
        <w:rPr>
          <w:rFonts w:eastAsia="Calibri" w:cs="Arial"/>
          <w:szCs w:val="22"/>
          <w:lang w:eastAsia="en-US"/>
        </w:rPr>
        <w:t>”. S</w:t>
      </w:r>
      <w:r w:rsidR="003B63AA" w:rsidRPr="00A77BAC">
        <w:rPr>
          <w:rFonts w:eastAsia="Calibri" w:cs="Arial"/>
          <w:szCs w:val="22"/>
          <w:lang w:eastAsia="en-US"/>
        </w:rPr>
        <w:t>uplementos de crédito por importe de 2.200.000€ en el presupuesto del Consejo de Administración de Patrimonio Nacional. Autorización al FEGA a concertar operación de crédito por importe de 90.151.820€.</w:t>
      </w:r>
    </w:p>
    <w:p w:rsidR="003B63AA" w:rsidRPr="00A77BAC" w:rsidRDefault="003C67F1" w:rsidP="00B50021">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Actividad contractual y convencional: convenio de colaboración del Ministerio de Medio Ambiente y la Junta de Galicia para el tratamiento de los residuos producidos por el hundimiento del “</w:t>
      </w:r>
      <w:proofErr w:type="spellStart"/>
      <w:r w:rsidR="003B63AA" w:rsidRPr="00A77BAC">
        <w:rPr>
          <w:rFonts w:eastAsia="Calibri" w:cs="Arial"/>
          <w:szCs w:val="22"/>
          <w:lang w:eastAsia="en-US"/>
        </w:rPr>
        <w:t>Prestige</w:t>
      </w:r>
      <w:proofErr w:type="spellEnd"/>
      <w:r w:rsidR="003B63AA" w:rsidRPr="00A77BAC">
        <w:rPr>
          <w:rFonts w:eastAsia="Calibri" w:cs="Arial"/>
          <w:szCs w:val="22"/>
          <w:lang w:eastAsia="en-US"/>
        </w:rPr>
        <w:t>”.</w:t>
      </w:r>
    </w:p>
    <w:p w:rsidR="003B63AA" w:rsidRPr="00A77BAC" w:rsidRDefault="003C67F1" w:rsidP="00B50021">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Nombramientos/ceses/condecoraciones</w:t>
      </w:r>
      <w:r w:rsidR="00B50021" w:rsidRPr="00A77BAC">
        <w:rPr>
          <w:rFonts w:eastAsia="Calibri" w:cs="Arial"/>
          <w:szCs w:val="22"/>
          <w:lang w:eastAsia="en-US"/>
        </w:rPr>
        <w:t>.</w:t>
      </w:r>
    </w:p>
    <w:p w:rsidR="003B63AA" w:rsidRPr="00A77BAC" w:rsidRDefault="003C67F1" w:rsidP="00B50021">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Terrorismo: extensión del Fondo de Contingencia para los afectados por </w:t>
      </w:r>
      <w:r w:rsidR="00B50021" w:rsidRPr="00A77BAC">
        <w:rPr>
          <w:rFonts w:eastAsia="Calibri" w:cs="Arial"/>
          <w:szCs w:val="22"/>
          <w:lang w:eastAsia="en-US"/>
        </w:rPr>
        <w:t>los</w:t>
      </w:r>
      <w:r w:rsidR="003B63AA" w:rsidRPr="00A77BAC">
        <w:rPr>
          <w:rFonts w:eastAsia="Calibri" w:cs="Arial"/>
          <w:szCs w:val="22"/>
          <w:lang w:eastAsia="en-US"/>
        </w:rPr>
        <w:t xml:space="preserve"> atentado</w:t>
      </w:r>
      <w:r w:rsidR="00B50021" w:rsidRPr="00A77BAC">
        <w:rPr>
          <w:rFonts w:eastAsia="Calibri" w:cs="Arial"/>
          <w:szCs w:val="22"/>
          <w:lang w:eastAsia="en-US"/>
        </w:rPr>
        <w:t>s</w:t>
      </w:r>
      <w:r w:rsidR="003B63AA" w:rsidRPr="00A77BAC">
        <w:rPr>
          <w:rFonts w:eastAsia="Calibri" w:cs="Arial"/>
          <w:szCs w:val="22"/>
          <w:lang w:eastAsia="en-US"/>
        </w:rPr>
        <w:t xml:space="preserve"> del 11 de marzo y </w:t>
      </w:r>
      <w:r w:rsidR="00B50021" w:rsidRPr="00A77BAC">
        <w:rPr>
          <w:rFonts w:eastAsia="Calibri" w:cs="Arial"/>
          <w:szCs w:val="22"/>
          <w:lang w:eastAsia="en-US"/>
        </w:rPr>
        <w:t xml:space="preserve">del </w:t>
      </w:r>
      <w:r w:rsidR="003B63AA" w:rsidRPr="00A77BAC">
        <w:rPr>
          <w:rFonts w:eastAsia="Calibri" w:cs="Arial"/>
          <w:szCs w:val="22"/>
          <w:lang w:eastAsia="en-US"/>
        </w:rPr>
        <w:t>3 de abril de 2004 (Leganés), levantamiento de confidencialidad de dos notas informativas del CNI relativas a dichos atentados, Real Decreto que crea  la Comisión para el seguimiento y atención sanitaria a los damnificados por el atentado terrorista del 11 de marzo de 2004.</w:t>
      </w:r>
    </w:p>
    <w:p w:rsidR="003B63AA" w:rsidRPr="00A77BAC" w:rsidRDefault="003C67F1" w:rsidP="00B50021">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Medio ambiente y agricultura: diversas normas con rango de Real Decreto (actividades potencialmente contaminantes del suelo,  reactivación de buques no inscritos en el censo de la flota pesquera operativa y actualización de buques irregulares) y un acuerdo para prevenir y reparar los efectos de </w:t>
      </w:r>
      <w:r w:rsidR="00B50021" w:rsidRPr="00A77BAC">
        <w:rPr>
          <w:rFonts w:eastAsia="Calibri" w:cs="Arial"/>
          <w:szCs w:val="22"/>
          <w:lang w:eastAsia="en-US"/>
        </w:rPr>
        <w:t xml:space="preserve">la </w:t>
      </w:r>
      <w:r w:rsidR="003B63AA" w:rsidRPr="00A77BAC">
        <w:rPr>
          <w:rFonts w:eastAsia="Calibri" w:cs="Arial"/>
          <w:szCs w:val="22"/>
          <w:lang w:eastAsia="en-US"/>
        </w:rPr>
        <w:t>contaminación marina  producidos por el siniestro del “</w:t>
      </w:r>
      <w:proofErr w:type="spellStart"/>
      <w:r w:rsidR="003B63AA" w:rsidRPr="00A77BAC">
        <w:rPr>
          <w:rFonts w:eastAsia="Calibri" w:cs="Arial"/>
          <w:szCs w:val="22"/>
          <w:lang w:eastAsia="en-US"/>
        </w:rPr>
        <w:t>Prestige</w:t>
      </w:r>
      <w:proofErr w:type="spellEnd"/>
      <w:r w:rsidR="003B63AA" w:rsidRPr="00A77BAC">
        <w:rPr>
          <w:rFonts w:eastAsia="Calibri" w:cs="Arial"/>
          <w:szCs w:val="22"/>
          <w:lang w:eastAsia="en-US"/>
        </w:rPr>
        <w:t xml:space="preserve">”. </w:t>
      </w:r>
    </w:p>
    <w:p w:rsidR="003B63AA" w:rsidRPr="00A77BAC" w:rsidRDefault="003C67F1" w:rsidP="00B50021">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Expropiaciones forzosas: declaraciones de lesiv</w:t>
      </w:r>
      <w:r w:rsidR="00B50021" w:rsidRPr="00A77BAC">
        <w:rPr>
          <w:rFonts w:eastAsia="Calibri" w:cs="Arial"/>
          <w:szCs w:val="22"/>
          <w:lang w:eastAsia="en-US"/>
        </w:rPr>
        <w:t>idad a los intereses del Estado y</w:t>
      </w:r>
      <w:r w:rsidR="003B63AA" w:rsidRPr="00A77BAC">
        <w:rPr>
          <w:rFonts w:eastAsia="Calibri" w:cs="Arial"/>
          <w:szCs w:val="22"/>
          <w:lang w:eastAsia="en-US"/>
        </w:rPr>
        <w:t xml:space="preserve"> ocupación de bienes (aeropuerto de Córdoba).</w:t>
      </w:r>
    </w:p>
    <w:p w:rsidR="003B63AA" w:rsidRPr="00A77BAC" w:rsidRDefault="003C67F1" w:rsidP="00B50021">
      <w:pPr>
        <w:spacing w:line="240" w:lineRule="auto"/>
        <w:ind w:firstLine="709"/>
        <w:rPr>
          <w:rFonts w:eastAsia="Calibri" w:cs="Arial"/>
          <w:szCs w:val="22"/>
          <w:lang w:eastAsia="en-US"/>
        </w:rPr>
      </w:pPr>
      <w:r w:rsidRPr="00A77BAC">
        <w:rPr>
          <w:rFonts w:eastAsia="Calibri" w:cs="Arial"/>
          <w:szCs w:val="22"/>
          <w:lang w:eastAsia="en-US"/>
        </w:rPr>
        <w:lastRenderedPageBreak/>
        <w:t xml:space="preserve">- </w:t>
      </w:r>
      <w:r w:rsidR="003B63AA" w:rsidRPr="00A77BAC">
        <w:rPr>
          <w:rFonts w:eastAsia="Calibri" w:cs="Arial"/>
          <w:szCs w:val="22"/>
          <w:lang w:eastAsia="en-US"/>
        </w:rPr>
        <w:t xml:space="preserve">Inconstitucionalidad: solicitud </w:t>
      </w:r>
      <w:r w:rsidR="00B50021" w:rsidRPr="00A77BAC">
        <w:rPr>
          <w:rFonts w:eastAsia="Calibri" w:cs="Arial"/>
          <w:szCs w:val="22"/>
          <w:lang w:eastAsia="en-US"/>
        </w:rPr>
        <w:t>al Presidente del G</w:t>
      </w:r>
      <w:r w:rsidR="003B63AA" w:rsidRPr="00A77BAC">
        <w:rPr>
          <w:rFonts w:eastAsia="Calibri" w:cs="Arial"/>
          <w:szCs w:val="22"/>
          <w:lang w:eastAsia="en-US"/>
        </w:rPr>
        <w:t>obierno p</w:t>
      </w:r>
      <w:r w:rsidR="00B50021" w:rsidRPr="00A77BAC">
        <w:rPr>
          <w:rFonts w:eastAsia="Calibri" w:cs="Arial"/>
          <w:szCs w:val="22"/>
          <w:lang w:eastAsia="en-US"/>
        </w:rPr>
        <w:t>ara la interposición de recurso</w:t>
      </w:r>
      <w:r w:rsidR="003B63AA" w:rsidRPr="00A77BAC">
        <w:rPr>
          <w:rFonts w:eastAsia="Calibri" w:cs="Arial"/>
          <w:szCs w:val="22"/>
          <w:lang w:eastAsia="en-US"/>
        </w:rPr>
        <w:t xml:space="preserve"> de inconstitucionalidad contra la Ley de la Comunidad Autónoma de Andalucía 18/2003, de 29 de diciembre, por la que se aprueban medidas fiscales y administrativas. </w:t>
      </w:r>
    </w:p>
    <w:p w:rsidR="00B50021" w:rsidRPr="00A77BAC" w:rsidRDefault="00B50021" w:rsidP="003B63AA">
      <w:pPr>
        <w:spacing w:line="240" w:lineRule="auto"/>
        <w:rPr>
          <w:rFonts w:eastAsia="Calibri" w:cs="Arial"/>
          <w:b/>
          <w:szCs w:val="22"/>
          <w:lang w:eastAsia="en-US"/>
        </w:rPr>
      </w:pPr>
    </w:p>
    <w:p w:rsidR="003B63AA" w:rsidRPr="00C94B0E" w:rsidRDefault="00B50021" w:rsidP="003B63AA">
      <w:pPr>
        <w:spacing w:line="240" w:lineRule="auto"/>
        <w:rPr>
          <w:rFonts w:eastAsia="Calibri" w:cs="Arial"/>
          <w:b/>
          <w:szCs w:val="22"/>
          <w:u w:val="single"/>
          <w:lang w:eastAsia="en-US"/>
        </w:rPr>
      </w:pPr>
      <w:r w:rsidRPr="00C94B0E">
        <w:rPr>
          <w:rFonts w:eastAsia="Calibri" w:cs="Arial"/>
          <w:b/>
          <w:szCs w:val="22"/>
          <w:u w:val="single"/>
          <w:lang w:eastAsia="en-US"/>
        </w:rPr>
        <w:t>3.3. IX L</w:t>
      </w:r>
      <w:r w:rsidR="003B63AA" w:rsidRPr="00C94B0E">
        <w:rPr>
          <w:rFonts w:eastAsia="Calibri" w:cs="Arial"/>
          <w:b/>
          <w:szCs w:val="22"/>
          <w:u w:val="single"/>
          <w:lang w:eastAsia="en-US"/>
        </w:rPr>
        <w:t>egislatura (2008)</w:t>
      </w:r>
      <w:r w:rsidRPr="00C94B0E">
        <w:rPr>
          <w:rFonts w:eastAsia="Calibri" w:cs="Arial"/>
          <w:b/>
          <w:szCs w:val="22"/>
          <w:u w:val="single"/>
          <w:lang w:eastAsia="en-US"/>
        </w:rPr>
        <w:t>.</w:t>
      </w:r>
    </w:p>
    <w:p w:rsidR="00B50021" w:rsidRPr="00A77BAC" w:rsidRDefault="00B50021" w:rsidP="003B63AA">
      <w:pPr>
        <w:spacing w:line="240" w:lineRule="auto"/>
        <w:rPr>
          <w:rFonts w:eastAsia="Calibri" w:cs="Arial"/>
          <w:b/>
          <w:szCs w:val="22"/>
          <w:lang w:eastAsia="en-US"/>
        </w:rPr>
      </w:pPr>
    </w:p>
    <w:p w:rsidR="003B63AA" w:rsidRPr="00A77BAC" w:rsidRDefault="003B63AA" w:rsidP="00B50021">
      <w:pPr>
        <w:spacing w:line="240" w:lineRule="auto"/>
        <w:ind w:firstLine="708"/>
        <w:rPr>
          <w:rFonts w:eastAsia="Calibri" w:cs="Arial"/>
          <w:szCs w:val="22"/>
          <w:lang w:eastAsia="en-US"/>
        </w:rPr>
      </w:pPr>
      <w:r w:rsidRPr="00A77BAC">
        <w:rPr>
          <w:rFonts w:eastAsia="Calibri" w:cs="Arial"/>
          <w:szCs w:val="22"/>
          <w:lang w:eastAsia="en-US"/>
        </w:rPr>
        <w:t>El Consejo de Ministros aprobó acuerdos y normas sobre las siguientes cuestiones:</w:t>
      </w:r>
    </w:p>
    <w:p w:rsidR="00B50021" w:rsidRPr="00A77BAC" w:rsidRDefault="00B50021" w:rsidP="00B50021">
      <w:pPr>
        <w:spacing w:line="240" w:lineRule="auto"/>
        <w:ind w:firstLine="708"/>
        <w:rPr>
          <w:rFonts w:eastAsia="Calibri" w:cs="Arial"/>
          <w:szCs w:val="22"/>
          <w:lang w:eastAsia="en-US"/>
        </w:rPr>
      </w:pPr>
    </w:p>
    <w:p w:rsidR="003B63AA" w:rsidRPr="00A77BAC" w:rsidRDefault="00B50021" w:rsidP="00B50021">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Materia judicial: indultos (concesiones y denegaciones), procedimientos de extradición (activas y pasivas</w:t>
      </w:r>
      <w:r w:rsidRPr="00A77BAC">
        <w:rPr>
          <w:rFonts w:eastAsia="Calibri" w:cs="Arial"/>
          <w:szCs w:val="22"/>
          <w:lang w:eastAsia="en-US"/>
        </w:rPr>
        <w:t xml:space="preserve"> </w:t>
      </w:r>
      <w:r w:rsidR="003B63AA" w:rsidRPr="00A77BAC">
        <w:rPr>
          <w:rFonts w:eastAsia="Calibri" w:cs="Arial"/>
          <w:szCs w:val="22"/>
          <w:lang w:eastAsia="en-US"/>
        </w:rPr>
        <w:t>-en atención a la interpretación juris</w:t>
      </w:r>
      <w:r w:rsidRPr="00A77BAC">
        <w:rPr>
          <w:rFonts w:eastAsia="Calibri" w:cs="Arial"/>
          <w:szCs w:val="22"/>
          <w:lang w:eastAsia="en-US"/>
        </w:rPr>
        <w:t>prudencial del Tribunal Supremo</w:t>
      </w:r>
      <w:r w:rsidR="003B63AA" w:rsidRPr="00A77BAC">
        <w:rPr>
          <w:rFonts w:eastAsia="Calibri" w:cs="Arial"/>
          <w:szCs w:val="22"/>
          <w:lang w:eastAsia="en-US"/>
        </w:rPr>
        <w:t xml:space="preserve"> no se incluyen decisiones finales sino sólo actos de trámite</w:t>
      </w:r>
      <w:r w:rsidRPr="00A77BAC">
        <w:rPr>
          <w:rFonts w:eastAsia="Calibri" w:cs="Arial"/>
          <w:szCs w:val="22"/>
          <w:lang w:eastAsia="en-US"/>
        </w:rPr>
        <w:t xml:space="preserve">-) y </w:t>
      </w:r>
      <w:r w:rsidR="003B63AA" w:rsidRPr="00A77BAC">
        <w:rPr>
          <w:rFonts w:eastAsia="Calibri" w:cs="Arial"/>
          <w:szCs w:val="22"/>
          <w:lang w:eastAsia="en-US"/>
        </w:rPr>
        <w:t xml:space="preserve"> traslado de personas condenadas. </w:t>
      </w:r>
    </w:p>
    <w:p w:rsidR="003B63AA" w:rsidRPr="00A77BAC" w:rsidRDefault="00B50021" w:rsidP="00B50021">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Materia financiera: uso del Fondo de contingencia, convalidaciones de gastos (algunas de cuantía sustancial</w:t>
      </w:r>
      <w:r w:rsidRPr="00A77BAC">
        <w:rPr>
          <w:rFonts w:eastAsia="Calibri" w:cs="Arial"/>
          <w:szCs w:val="22"/>
          <w:lang w:eastAsia="en-US"/>
        </w:rPr>
        <w:t xml:space="preserve"> </w:t>
      </w:r>
      <w:r w:rsidR="003B63AA" w:rsidRPr="00A77BAC">
        <w:rPr>
          <w:rFonts w:eastAsia="Calibri" w:cs="Arial"/>
          <w:szCs w:val="22"/>
          <w:lang w:eastAsia="en-US"/>
        </w:rPr>
        <w:t>-40 millones de euros</w:t>
      </w:r>
      <w:r w:rsidRPr="00A77BAC">
        <w:rPr>
          <w:rFonts w:eastAsia="Calibri" w:cs="Arial"/>
          <w:szCs w:val="22"/>
          <w:lang w:eastAsia="en-US"/>
        </w:rPr>
        <w:t>-</w:t>
      </w:r>
      <w:r w:rsidR="003B63AA" w:rsidRPr="00A77BAC">
        <w:rPr>
          <w:rFonts w:eastAsia="Calibri" w:cs="Arial"/>
          <w:szCs w:val="22"/>
          <w:lang w:eastAsia="en-US"/>
        </w:rPr>
        <w:t xml:space="preserve">), compromisos de gasto con cargo a ejercicios futuros (para gestión e infraestructuras de agua), anticipos de tesorería para comunidades autónomas (hasta 300 </w:t>
      </w:r>
      <w:r w:rsidRPr="00A77BAC">
        <w:rPr>
          <w:rFonts w:eastAsia="Calibri" w:cs="Arial"/>
          <w:szCs w:val="22"/>
          <w:lang w:eastAsia="en-US"/>
        </w:rPr>
        <w:t>millones de euros), autorizaciones</w:t>
      </w:r>
      <w:r w:rsidR="003B63AA" w:rsidRPr="00A77BAC">
        <w:rPr>
          <w:rFonts w:eastAsia="Calibri" w:cs="Arial"/>
          <w:szCs w:val="22"/>
          <w:lang w:eastAsia="en-US"/>
        </w:rPr>
        <w:t xml:space="preserve"> de endeudamiento a medio y largo pla</w:t>
      </w:r>
      <w:r w:rsidRPr="00A77BAC">
        <w:rPr>
          <w:rFonts w:eastAsia="Calibri" w:cs="Arial"/>
          <w:szCs w:val="22"/>
          <w:lang w:eastAsia="en-US"/>
        </w:rPr>
        <w:t>zo de las comunidades autónomas y</w:t>
      </w:r>
      <w:r w:rsidR="003B63AA" w:rsidRPr="00A77BAC">
        <w:rPr>
          <w:rFonts w:eastAsia="Calibri" w:cs="Arial"/>
          <w:szCs w:val="22"/>
          <w:lang w:eastAsia="en-US"/>
        </w:rPr>
        <w:t xml:space="preserve"> subvenciones directas. </w:t>
      </w:r>
    </w:p>
    <w:p w:rsidR="003B63AA" w:rsidRPr="00A77BAC" w:rsidRDefault="00B50021" w:rsidP="00B50021">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Materia contractual y convencional: aprobación y modificación de contratos y contrato programa para financiación de transporte regular, actuaciones de emergencia, aprobaciones/modificaciones de convenios de colaboración y encomiendas de gestión. </w:t>
      </w:r>
    </w:p>
    <w:p w:rsidR="003B63AA" w:rsidRPr="00A77BAC" w:rsidRDefault="00B50021" w:rsidP="00B50021">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Materia de recursos interpuestos por los ciudadanos: resolución de expedientes de responsabilidad patrimonial o en el ámbito sancionador</w:t>
      </w:r>
      <w:r w:rsidRPr="00A77BAC">
        <w:rPr>
          <w:rFonts w:eastAsia="Calibri" w:cs="Arial"/>
          <w:szCs w:val="22"/>
          <w:lang w:eastAsia="en-US"/>
        </w:rPr>
        <w:t xml:space="preserve"> y</w:t>
      </w:r>
      <w:r w:rsidR="003B63AA" w:rsidRPr="00A77BAC">
        <w:rPr>
          <w:rFonts w:eastAsia="Calibri" w:cs="Arial"/>
          <w:szCs w:val="22"/>
          <w:lang w:eastAsia="en-US"/>
        </w:rPr>
        <w:t xml:space="preserve"> recursos de revisión (inadmisión). </w:t>
      </w:r>
    </w:p>
    <w:p w:rsidR="003B63AA" w:rsidRPr="00A77BAC" w:rsidRDefault="00B50021" w:rsidP="00B50021">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Nombramientos/ceses/condecoraciones: incluido nombramiento de juez en el </w:t>
      </w:r>
      <w:r w:rsidRPr="00A77BAC">
        <w:rPr>
          <w:rFonts w:eastAsia="Calibri" w:cs="Arial"/>
          <w:szCs w:val="22"/>
          <w:lang w:eastAsia="en-US"/>
        </w:rPr>
        <w:t>Tribunal Europeo de Derechos Humanos.</w:t>
      </w:r>
      <w:r w:rsidR="003B63AA" w:rsidRPr="00A77BAC">
        <w:rPr>
          <w:rFonts w:eastAsia="Calibri" w:cs="Arial"/>
          <w:szCs w:val="22"/>
          <w:lang w:eastAsia="en-US"/>
        </w:rPr>
        <w:t xml:space="preserve"> </w:t>
      </w:r>
    </w:p>
    <w:p w:rsidR="003B63AA" w:rsidRPr="00A77BAC" w:rsidRDefault="00B50021" w:rsidP="00B50021">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Internacional: contribuciones voluntari</w:t>
      </w:r>
      <w:r w:rsidRPr="00A77BAC">
        <w:rPr>
          <w:rFonts w:eastAsia="Calibri" w:cs="Arial"/>
          <w:szCs w:val="22"/>
          <w:lang w:eastAsia="en-US"/>
        </w:rPr>
        <w:t>as a organismos internacionales y</w:t>
      </w:r>
      <w:r w:rsidR="003B63AA" w:rsidRPr="00A77BAC">
        <w:rPr>
          <w:rFonts w:eastAsia="Calibri" w:cs="Arial"/>
          <w:szCs w:val="22"/>
          <w:lang w:eastAsia="en-US"/>
        </w:rPr>
        <w:t xml:space="preserve"> firma de acuerdos internacionales (intercambio de información tributaria, para evitar doble imposición y evitar evasión fiscal, </w:t>
      </w:r>
      <w:r w:rsidR="0007254F">
        <w:rPr>
          <w:rFonts w:eastAsia="Calibri" w:cs="Arial"/>
          <w:szCs w:val="22"/>
          <w:lang w:eastAsia="en-US"/>
        </w:rPr>
        <w:t xml:space="preserve">y </w:t>
      </w:r>
      <w:r w:rsidR="003B63AA" w:rsidRPr="00A77BAC">
        <w:rPr>
          <w:rFonts w:eastAsia="Calibri" w:cs="Arial"/>
          <w:szCs w:val="22"/>
          <w:lang w:eastAsia="en-US"/>
        </w:rPr>
        <w:t xml:space="preserve">protección recíproca de inversiones), </w:t>
      </w:r>
    </w:p>
    <w:p w:rsidR="003B63AA" w:rsidRPr="00A77BAC" w:rsidRDefault="00B50021" w:rsidP="00B50021">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Medio ambiente y gestión hidráulica: trasvase de ag</w:t>
      </w:r>
      <w:r w:rsidRPr="00A77BAC">
        <w:rPr>
          <w:rFonts w:eastAsia="Calibri" w:cs="Arial"/>
          <w:szCs w:val="22"/>
          <w:lang w:eastAsia="en-US"/>
        </w:rPr>
        <w:t>uas entre cuencas hidrográficas,</w:t>
      </w:r>
      <w:r w:rsidR="003B63AA" w:rsidRPr="00A77BAC">
        <w:rPr>
          <w:rFonts w:eastAsia="Calibri" w:cs="Arial"/>
          <w:szCs w:val="22"/>
          <w:lang w:eastAsia="en-US"/>
        </w:rPr>
        <w:t xml:space="preserve"> invent</w:t>
      </w:r>
      <w:r w:rsidRPr="00A77BAC">
        <w:rPr>
          <w:rFonts w:eastAsia="Calibri" w:cs="Arial"/>
          <w:szCs w:val="22"/>
          <w:lang w:eastAsia="en-US"/>
        </w:rPr>
        <w:t>ario de emisiones contaminantes y</w:t>
      </w:r>
      <w:r w:rsidR="003B63AA" w:rsidRPr="00A77BAC">
        <w:rPr>
          <w:rFonts w:eastAsia="Calibri" w:cs="Arial"/>
          <w:szCs w:val="22"/>
          <w:lang w:eastAsia="en-US"/>
        </w:rPr>
        <w:t xml:space="preserve"> conc</w:t>
      </w:r>
      <w:r w:rsidRPr="00A77BAC">
        <w:rPr>
          <w:rFonts w:eastAsia="Calibri" w:cs="Arial"/>
          <w:szCs w:val="22"/>
          <w:lang w:eastAsia="en-US"/>
        </w:rPr>
        <w:t>esiones de explotación (Castor).</w:t>
      </w:r>
    </w:p>
    <w:p w:rsidR="003B63AA" w:rsidRPr="00A77BAC" w:rsidRDefault="00B50021" w:rsidP="00B50021">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Inconstitucionalidad: respuesta a requerimientos de incompetencia formulados por gobiernos autonómicos. </w:t>
      </w:r>
    </w:p>
    <w:p w:rsidR="00B50021" w:rsidRPr="00A77BAC" w:rsidRDefault="00B50021" w:rsidP="00B50021">
      <w:pPr>
        <w:spacing w:line="240" w:lineRule="auto"/>
        <w:ind w:firstLine="709"/>
        <w:rPr>
          <w:rFonts w:eastAsia="Calibri" w:cs="Arial"/>
          <w:szCs w:val="22"/>
          <w:lang w:eastAsia="en-US"/>
        </w:rPr>
      </w:pPr>
    </w:p>
    <w:p w:rsidR="003B63AA" w:rsidRPr="00C94B0E" w:rsidRDefault="00B50021" w:rsidP="003B63AA">
      <w:pPr>
        <w:spacing w:line="240" w:lineRule="auto"/>
        <w:rPr>
          <w:rFonts w:eastAsia="Calibri" w:cs="Arial"/>
          <w:b/>
          <w:szCs w:val="22"/>
          <w:u w:val="single"/>
          <w:lang w:eastAsia="en-US"/>
        </w:rPr>
      </w:pPr>
      <w:r w:rsidRPr="00C94B0E">
        <w:rPr>
          <w:rFonts w:eastAsia="Calibri" w:cs="Arial"/>
          <w:b/>
          <w:szCs w:val="22"/>
          <w:u w:val="single"/>
          <w:lang w:eastAsia="en-US"/>
        </w:rPr>
        <w:t>3.4. X L</w:t>
      </w:r>
      <w:r w:rsidR="003B63AA" w:rsidRPr="00C94B0E">
        <w:rPr>
          <w:rFonts w:eastAsia="Calibri" w:cs="Arial"/>
          <w:b/>
          <w:szCs w:val="22"/>
          <w:u w:val="single"/>
          <w:lang w:eastAsia="en-US"/>
        </w:rPr>
        <w:t>egislatura (2011)</w:t>
      </w:r>
      <w:r w:rsidRPr="00C94B0E">
        <w:rPr>
          <w:rFonts w:eastAsia="Calibri" w:cs="Arial"/>
          <w:b/>
          <w:szCs w:val="22"/>
          <w:u w:val="single"/>
          <w:lang w:eastAsia="en-US"/>
        </w:rPr>
        <w:t>.</w:t>
      </w:r>
    </w:p>
    <w:p w:rsidR="00B50021" w:rsidRPr="00A77BAC" w:rsidRDefault="00B50021" w:rsidP="003B63AA">
      <w:pPr>
        <w:spacing w:line="240" w:lineRule="auto"/>
        <w:rPr>
          <w:rFonts w:eastAsia="Calibri" w:cs="Arial"/>
          <w:b/>
          <w:szCs w:val="22"/>
          <w:lang w:eastAsia="en-US"/>
        </w:rPr>
      </w:pPr>
    </w:p>
    <w:p w:rsidR="003B63AA" w:rsidRPr="00A77BAC" w:rsidRDefault="00EC5A4B" w:rsidP="00B50021">
      <w:pPr>
        <w:spacing w:line="240" w:lineRule="auto"/>
        <w:ind w:firstLine="708"/>
        <w:rPr>
          <w:rFonts w:eastAsia="Calibri" w:cs="Arial"/>
          <w:szCs w:val="22"/>
          <w:lang w:eastAsia="en-US"/>
        </w:rPr>
      </w:pPr>
      <w:r>
        <w:rPr>
          <w:rFonts w:eastAsia="Calibri" w:cs="Arial"/>
          <w:szCs w:val="22"/>
          <w:lang w:eastAsia="en-US"/>
        </w:rPr>
        <w:t>.</w:t>
      </w:r>
      <w:r w:rsidR="003B63AA" w:rsidRPr="00A77BAC">
        <w:rPr>
          <w:rFonts w:eastAsia="Calibri" w:cs="Arial"/>
          <w:szCs w:val="22"/>
          <w:lang w:eastAsia="en-US"/>
        </w:rPr>
        <w:t>Por lo que se refiere al Consejo de Ministros</w:t>
      </w:r>
      <w:r w:rsidR="003B63AA" w:rsidRPr="00A77BAC">
        <w:rPr>
          <w:rFonts w:eastAsia="Calibri" w:cs="Arial"/>
          <w:szCs w:val="22"/>
          <w:vertAlign w:val="superscript"/>
          <w:lang w:eastAsia="en-US"/>
        </w:rPr>
        <w:footnoteReference w:id="1"/>
      </w:r>
      <w:r w:rsidR="003B63AA" w:rsidRPr="00A77BAC">
        <w:rPr>
          <w:rFonts w:eastAsia="Calibri" w:cs="Arial"/>
          <w:szCs w:val="22"/>
          <w:lang w:eastAsia="en-US"/>
        </w:rPr>
        <w:t>, se in</w:t>
      </w:r>
      <w:r w:rsidR="00A77BAC" w:rsidRPr="00A77BAC">
        <w:rPr>
          <w:rFonts w:eastAsia="Calibri" w:cs="Arial"/>
          <w:szCs w:val="22"/>
          <w:lang w:eastAsia="en-US"/>
        </w:rPr>
        <w:t>cluyeron los siguientes asuntos:</w:t>
      </w:r>
    </w:p>
    <w:p w:rsidR="00A77BAC" w:rsidRPr="00A77BAC" w:rsidRDefault="00A77BAC" w:rsidP="00B50021">
      <w:pPr>
        <w:spacing w:line="240" w:lineRule="auto"/>
        <w:ind w:firstLine="708"/>
        <w:rPr>
          <w:rFonts w:eastAsia="Calibri" w:cs="Arial"/>
          <w:szCs w:val="22"/>
          <w:lang w:eastAsia="en-US"/>
        </w:rPr>
      </w:pPr>
    </w:p>
    <w:p w:rsidR="003B63AA" w:rsidRPr="00A77BAC" w:rsidRDefault="00A77BAC" w:rsidP="00A77BAC">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Materia judicial: indultos (concesiones y denegaciones), procedimientos de extradición (activas y pasivas), </w:t>
      </w:r>
      <w:r w:rsidRPr="00A77BAC">
        <w:rPr>
          <w:rFonts w:eastAsia="Calibri" w:cs="Arial"/>
          <w:szCs w:val="22"/>
          <w:lang w:eastAsia="en-US"/>
        </w:rPr>
        <w:t>traslado de personas condenadas y concesiones</w:t>
      </w:r>
      <w:r w:rsidR="003B63AA" w:rsidRPr="00A77BAC">
        <w:rPr>
          <w:rFonts w:eastAsia="Calibri" w:cs="Arial"/>
          <w:szCs w:val="22"/>
          <w:lang w:eastAsia="en-US"/>
        </w:rPr>
        <w:t xml:space="preserve"> de nacionalidad. </w:t>
      </w:r>
    </w:p>
    <w:p w:rsidR="003B63AA" w:rsidRPr="00A77BAC" w:rsidRDefault="00A77BAC" w:rsidP="00A77BAC">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Materia financiera: uso del Fondo de contingencia, convalidaciones de gastos, compromisos de gasto con cargo a ejercicios futuros, concesión directa de subvenciones (entre ellas, a Cruz Roja y Cáritas a efecto</w:t>
      </w:r>
      <w:r w:rsidRPr="00A77BAC">
        <w:rPr>
          <w:rFonts w:eastAsia="Calibri" w:cs="Arial"/>
          <w:szCs w:val="22"/>
          <w:lang w:eastAsia="en-US"/>
        </w:rPr>
        <w:t xml:space="preserve">s de IRPF del ejercicio 2011), </w:t>
      </w:r>
      <w:r w:rsidR="003B63AA" w:rsidRPr="00A77BAC">
        <w:rPr>
          <w:rFonts w:eastAsia="Calibri" w:cs="Arial"/>
          <w:szCs w:val="22"/>
          <w:lang w:eastAsia="en-US"/>
        </w:rPr>
        <w:t>concesión de subvención para servicios de transporte ferroviario en Cataluña</w:t>
      </w:r>
      <w:r w:rsidRPr="00A77BAC">
        <w:rPr>
          <w:rFonts w:eastAsia="Calibri" w:cs="Arial"/>
          <w:szCs w:val="22"/>
          <w:lang w:eastAsia="en-US"/>
        </w:rPr>
        <w:t xml:space="preserve"> y</w:t>
      </w:r>
      <w:r w:rsidR="003B63AA" w:rsidRPr="00A77BAC">
        <w:rPr>
          <w:rFonts w:eastAsia="Calibri" w:cs="Arial"/>
          <w:szCs w:val="22"/>
          <w:lang w:eastAsia="en-US"/>
        </w:rPr>
        <w:t xml:space="preserve"> autorización para realización de operaciones financieras a largo plazo (1.000 millones de euros a la comunidad valenciana y Madrid), </w:t>
      </w:r>
    </w:p>
    <w:p w:rsidR="003B63AA" w:rsidRPr="00A77BAC" w:rsidRDefault="00A77BAC" w:rsidP="00A77BAC">
      <w:pPr>
        <w:spacing w:line="240" w:lineRule="auto"/>
        <w:ind w:firstLine="709"/>
        <w:rPr>
          <w:rFonts w:eastAsia="Calibri" w:cs="Arial"/>
          <w:szCs w:val="22"/>
          <w:lang w:eastAsia="en-US"/>
        </w:rPr>
      </w:pPr>
      <w:r w:rsidRPr="00A77BAC">
        <w:rPr>
          <w:rFonts w:eastAsia="Calibri" w:cs="Arial"/>
          <w:szCs w:val="22"/>
          <w:lang w:eastAsia="en-US"/>
        </w:rPr>
        <w:t xml:space="preserve"> - </w:t>
      </w:r>
      <w:r w:rsidR="003B63AA" w:rsidRPr="00A77BAC">
        <w:rPr>
          <w:rFonts w:eastAsia="Calibri" w:cs="Arial"/>
          <w:szCs w:val="22"/>
          <w:lang w:eastAsia="en-US"/>
        </w:rPr>
        <w:t>Materia contractual y convencional: aprobació</w:t>
      </w:r>
      <w:r w:rsidRPr="00A77BAC">
        <w:rPr>
          <w:rFonts w:eastAsia="Calibri" w:cs="Arial"/>
          <w:szCs w:val="22"/>
          <w:lang w:eastAsia="en-US"/>
        </w:rPr>
        <w:t>n y modificación de contratos y actuaciones de emergencia y</w:t>
      </w:r>
      <w:r w:rsidR="003B63AA" w:rsidRPr="00A77BAC">
        <w:rPr>
          <w:rFonts w:eastAsia="Calibri" w:cs="Arial"/>
          <w:szCs w:val="22"/>
          <w:lang w:eastAsia="en-US"/>
        </w:rPr>
        <w:t xml:space="preserve"> aprobaciones/modificaciones de convenios de colaboración y encomiendas de gestión. </w:t>
      </w:r>
    </w:p>
    <w:p w:rsidR="003B63AA" w:rsidRPr="00A77BAC" w:rsidRDefault="00A77BAC" w:rsidP="00A77BAC">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Materia de recursos interpuestos por los ciudadanos: resolución de expedientes de responsabilidad patrimonial </w:t>
      </w:r>
      <w:r w:rsidRPr="00A77BAC">
        <w:rPr>
          <w:rFonts w:eastAsia="Calibri" w:cs="Arial"/>
          <w:szCs w:val="22"/>
          <w:lang w:eastAsia="en-US"/>
        </w:rPr>
        <w:t>del Estado L</w:t>
      </w:r>
      <w:r w:rsidR="003B63AA" w:rsidRPr="00A77BAC">
        <w:rPr>
          <w:rFonts w:eastAsia="Calibri" w:cs="Arial"/>
          <w:szCs w:val="22"/>
          <w:lang w:eastAsia="en-US"/>
        </w:rPr>
        <w:t xml:space="preserve">egislador o en el ámbito sancionador (incumplimiento de objetivos anuales de </w:t>
      </w:r>
      <w:proofErr w:type="spellStart"/>
      <w:r w:rsidR="003B63AA" w:rsidRPr="00A77BAC">
        <w:rPr>
          <w:rFonts w:eastAsia="Calibri" w:cs="Arial"/>
          <w:szCs w:val="22"/>
          <w:lang w:eastAsia="en-US"/>
        </w:rPr>
        <w:t>biocarbura</w:t>
      </w:r>
      <w:r w:rsidRPr="00A77BAC">
        <w:rPr>
          <w:rFonts w:eastAsia="Calibri" w:cs="Arial"/>
          <w:szCs w:val="22"/>
          <w:lang w:eastAsia="en-US"/>
        </w:rPr>
        <w:t>ntes</w:t>
      </w:r>
      <w:proofErr w:type="spellEnd"/>
      <w:r w:rsidRPr="00A77BAC">
        <w:rPr>
          <w:rFonts w:eastAsia="Calibri" w:cs="Arial"/>
          <w:szCs w:val="22"/>
          <w:lang w:eastAsia="en-US"/>
        </w:rPr>
        <w:t xml:space="preserve"> y combustibles renovables)</w:t>
      </w:r>
      <w:r w:rsidR="003B63AA" w:rsidRPr="00A77BAC">
        <w:rPr>
          <w:rFonts w:eastAsia="Calibri" w:cs="Arial"/>
          <w:szCs w:val="22"/>
          <w:lang w:eastAsia="en-US"/>
        </w:rPr>
        <w:t xml:space="preserve"> </w:t>
      </w:r>
      <w:r w:rsidRPr="00A77BAC">
        <w:rPr>
          <w:rFonts w:eastAsia="Calibri" w:cs="Arial"/>
          <w:szCs w:val="22"/>
          <w:lang w:eastAsia="en-US"/>
        </w:rPr>
        <w:t xml:space="preserve">y </w:t>
      </w:r>
      <w:r w:rsidR="003B63AA" w:rsidRPr="00A77BAC">
        <w:rPr>
          <w:rFonts w:eastAsia="Calibri" w:cs="Arial"/>
          <w:szCs w:val="22"/>
          <w:lang w:eastAsia="en-US"/>
        </w:rPr>
        <w:t xml:space="preserve">recursos de revisión (inadmisión). </w:t>
      </w:r>
    </w:p>
    <w:p w:rsidR="003B63AA" w:rsidRPr="00A77BAC" w:rsidRDefault="00A77BAC" w:rsidP="00A77BAC">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Nombramientos/ceses/condecoraciones. </w:t>
      </w:r>
    </w:p>
    <w:p w:rsidR="003B63AA" w:rsidRPr="00A77BAC" w:rsidRDefault="00A77BAC" w:rsidP="00A77BAC">
      <w:pPr>
        <w:spacing w:line="240" w:lineRule="auto"/>
        <w:ind w:firstLine="709"/>
        <w:rPr>
          <w:rFonts w:eastAsia="Calibri" w:cs="Arial"/>
          <w:szCs w:val="22"/>
          <w:lang w:eastAsia="en-US"/>
        </w:rPr>
      </w:pPr>
      <w:r w:rsidRPr="00A77BAC">
        <w:rPr>
          <w:rFonts w:eastAsia="Calibri" w:cs="Arial"/>
          <w:szCs w:val="22"/>
          <w:lang w:eastAsia="en-US"/>
        </w:rPr>
        <w:lastRenderedPageBreak/>
        <w:t xml:space="preserve">- </w:t>
      </w:r>
      <w:r w:rsidR="003B63AA" w:rsidRPr="00A77BAC">
        <w:rPr>
          <w:rFonts w:eastAsia="Calibri" w:cs="Arial"/>
          <w:szCs w:val="22"/>
          <w:lang w:eastAsia="en-US"/>
        </w:rPr>
        <w:t>Regulación financiera: real decreto ley de modificación del Real Decreto-ley 16/2011, de 14 de octubre</w:t>
      </w:r>
      <w:r w:rsidRPr="00A77BAC">
        <w:rPr>
          <w:rFonts w:eastAsia="Calibri" w:cs="Arial"/>
          <w:szCs w:val="22"/>
          <w:lang w:eastAsia="en-US"/>
        </w:rPr>
        <w:t>,</w:t>
      </w:r>
      <w:r w:rsidR="003B63AA" w:rsidRPr="00A77BAC">
        <w:rPr>
          <w:rFonts w:eastAsia="Calibri" w:cs="Arial"/>
          <w:szCs w:val="22"/>
          <w:lang w:eastAsia="en-US"/>
        </w:rPr>
        <w:t xml:space="preserve"> por el que se crea el Fondo de Garantía de Depósitos de Entidades de Crédito.</w:t>
      </w:r>
    </w:p>
    <w:p w:rsidR="003B63AA" w:rsidRPr="00A77BAC" w:rsidRDefault="00A77BAC" w:rsidP="00A77BAC">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Inconstitucionalidad: solicitudes al Presidente del Gobierno para la interposición de recursos de inconstitucionalidad contra disposiciones autonómicas. </w:t>
      </w:r>
    </w:p>
    <w:p w:rsidR="003B63AA" w:rsidRPr="00A77BAC" w:rsidRDefault="00A77BAC" w:rsidP="00A77BAC">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Medio ambiente: asignación de derechos de emisión atribuidos a España (protocolo Kioto, periodo 2013-2020</w:t>
      </w:r>
      <w:r w:rsidRPr="00A77BAC">
        <w:rPr>
          <w:rFonts w:eastAsia="Calibri" w:cs="Arial"/>
          <w:szCs w:val="22"/>
          <w:lang w:eastAsia="en-US"/>
        </w:rPr>
        <w:t>)</w:t>
      </w:r>
    </w:p>
    <w:p w:rsidR="003B63AA" w:rsidRPr="00A77BAC" w:rsidRDefault="00A77BAC" w:rsidP="00A77BAC">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Internacional: convenios in</w:t>
      </w:r>
      <w:r w:rsidRPr="00A77BAC">
        <w:rPr>
          <w:rFonts w:eastAsia="Calibri" w:cs="Arial"/>
          <w:szCs w:val="22"/>
          <w:lang w:eastAsia="en-US"/>
        </w:rPr>
        <w:t>ternacionales (doble imposición y</w:t>
      </w:r>
      <w:r w:rsidR="003B63AA" w:rsidRPr="00A77BAC">
        <w:rPr>
          <w:rFonts w:eastAsia="Calibri" w:cs="Arial"/>
          <w:szCs w:val="22"/>
          <w:lang w:eastAsia="en-US"/>
        </w:rPr>
        <w:t xml:space="preserve"> revisión d</w:t>
      </w:r>
      <w:r w:rsidRPr="00A77BAC">
        <w:rPr>
          <w:rFonts w:eastAsia="Calibri" w:cs="Arial"/>
          <w:szCs w:val="22"/>
          <w:lang w:eastAsia="en-US"/>
        </w:rPr>
        <w:t>e convenios de Seguridad Social),</w:t>
      </w:r>
      <w:r w:rsidR="003B63AA" w:rsidRPr="00A77BAC">
        <w:rPr>
          <w:rFonts w:eastAsia="Calibri" w:cs="Arial"/>
          <w:szCs w:val="22"/>
          <w:lang w:eastAsia="en-US"/>
        </w:rPr>
        <w:t xml:space="preserve"> aportaciones voluntarias a diversas organizaciones internacionales (ejercicio 2011) y a fondos de cooperación al desarrollo y ayuda humanitaria, </w:t>
      </w:r>
    </w:p>
    <w:p w:rsidR="003B63AA" w:rsidRPr="00A77BAC" w:rsidRDefault="00A77BAC" w:rsidP="00A77BAC">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Educación: reales decretos de certificados de profesionalidad del repertorio nacional de cualificaciones. </w:t>
      </w:r>
    </w:p>
    <w:p w:rsidR="003B63AA" w:rsidRPr="00A77BAC" w:rsidRDefault="00A77BAC" w:rsidP="00A77BAC">
      <w:pPr>
        <w:spacing w:line="240" w:lineRule="auto"/>
        <w:ind w:firstLine="709"/>
        <w:rPr>
          <w:rFonts w:eastAsia="Calibri" w:cs="Arial"/>
          <w:szCs w:val="22"/>
          <w:lang w:eastAsia="en-US"/>
        </w:rPr>
      </w:pPr>
      <w:r w:rsidRPr="00A77BAC">
        <w:rPr>
          <w:rFonts w:eastAsia="Calibri" w:cs="Arial"/>
          <w:szCs w:val="22"/>
          <w:lang w:eastAsia="en-US"/>
        </w:rPr>
        <w:t xml:space="preserve">- </w:t>
      </w:r>
      <w:r w:rsidR="003B63AA" w:rsidRPr="00A77BAC">
        <w:rPr>
          <w:rFonts w:eastAsia="Calibri" w:cs="Arial"/>
          <w:szCs w:val="22"/>
          <w:lang w:eastAsia="en-US"/>
        </w:rPr>
        <w:t xml:space="preserve">Audiovisual: autorización de transmisión de licencia de televisión (La Sexta a A3). </w:t>
      </w:r>
    </w:p>
    <w:p w:rsidR="007947F3" w:rsidRPr="00A77BAC" w:rsidRDefault="007947F3" w:rsidP="002F7DB9">
      <w:pPr>
        <w:rPr>
          <w:szCs w:val="22"/>
        </w:rPr>
      </w:pPr>
    </w:p>
    <w:sectPr w:rsidR="007947F3" w:rsidRPr="00A77BAC" w:rsidSect="00C22BC7">
      <w:headerReference w:type="default" r:id="rId8"/>
      <w:footerReference w:type="even" r:id="rId9"/>
      <w:footerReference w:type="default" r:id="rId10"/>
      <w:headerReference w:type="first" r:id="rId11"/>
      <w:pgSz w:w="11906" w:h="16838" w:code="9"/>
      <w:pgMar w:top="2268" w:right="1418" w:bottom="1418" w:left="1701" w:header="510"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3AA" w:rsidRDefault="003B63AA">
      <w:r>
        <w:separator/>
      </w:r>
    </w:p>
  </w:endnote>
  <w:endnote w:type="continuationSeparator" w:id="0">
    <w:p w:rsidR="003B63AA" w:rsidRDefault="003B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w:panose1 w:val="020B05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BC7" w:rsidRDefault="00C22BC7" w:rsidP="00470B1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22BC7" w:rsidRDefault="00C22B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BC7" w:rsidRDefault="00C22BC7" w:rsidP="00470B1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976A8">
      <w:rPr>
        <w:rStyle w:val="Nmerodepgina"/>
        <w:noProof/>
      </w:rPr>
      <w:t>5</w:t>
    </w:r>
    <w:r>
      <w:rPr>
        <w:rStyle w:val="Nmerodepgina"/>
      </w:rPr>
      <w:fldChar w:fldCharType="end"/>
    </w:r>
  </w:p>
  <w:p w:rsidR="002E5F59" w:rsidRPr="002E5F59" w:rsidRDefault="002E5F59" w:rsidP="00F976A8">
    <w:pPr>
      <w:pStyle w:val="Piedepgina"/>
      <w:ind w:hanging="851"/>
      <w:rPr>
        <w:rFonts w:ascii="Gill Sans" w:hAnsi="Gill Sans"/>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3AA" w:rsidRDefault="003B63AA">
      <w:r>
        <w:separator/>
      </w:r>
    </w:p>
  </w:footnote>
  <w:footnote w:type="continuationSeparator" w:id="0">
    <w:p w:rsidR="003B63AA" w:rsidRDefault="003B63AA">
      <w:r>
        <w:continuationSeparator/>
      </w:r>
    </w:p>
  </w:footnote>
  <w:footnote w:id="1">
    <w:p w:rsidR="003B63AA" w:rsidRPr="00F133C7" w:rsidRDefault="003B63AA" w:rsidP="003B63AA">
      <w:pPr>
        <w:pStyle w:val="Textonotapie"/>
        <w:jc w:val="both"/>
        <w:rPr>
          <w:rFonts w:ascii="Arial" w:hAnsi="Arial" w:cs="Arial"/>
          <w:sz w:val="18"/>
          <w:szCs w:val="18"/>
        </w:rPr>
      </w:pPr>
      <w:r w:rsidRPr="00F133C7">
        <w:rPr>
          <w:rStyle w:val="Refdenotaalpie"/>
          <w:rFonts w:ascii="Arial" w:hAnsi="Arial" w:cs="Arial"/>
          <w:sz w:val="18"/>
          <w:szCs w:val="18"/>
        </w:rPr>
        <w:footnoteRef/>
      </w:r>
      <w:r w:rsidRPr="00F133C7">
        <w:rPr>
          <w:rFonts w:ascii="Arial" w:hAnsi="Arial" w:cs="Arial"/>
          <w:sz w:val="18"/>
          <w:szCs w:val="18"/>
        </w:rPr>
        <w:t xml:space="preserve"> Debe tenerse en cuenta el carácter negociado del orden del día entre los Gobiernos saliente y entrante, como ya se ha indicado anteriormente.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1206" w:type="dxa"/>
      <w:tblLayout w:type="fixed"/>
      <w:tblCellMar>
        <w:left w:w="70" w:type="dxa"/>
        <w:right w:w="70" w:type="dxa"/>
      </w:tblCellMar>
      <w:tblLook w:val="0000" w:firstRow="0" w:lastRow="0" w:firstColumn="0" w:lastColumn="0" w:noHBand="0" w:noVBand="0"/>
    </w:tblPr>
    <w:tblGrid>
      <w:gridCol w:w="1418"/>
      <w:gridCol w:w="7088"/>
    </w:tblGrid>
    <w:tr w:rsidR="00EC5A4B">
      <w:trPr>
        <w:cantSplit/>
        <w:trHeight w:val="379"/>
        <w:jc w:val="center"/>
      </w:trPr>
      <w:tc>
        <w:tcPr>
          <w:tcW w:w="1418" w:type="dxa"/>
          <w:vMerge w:val="restart"/>
        </w:tcPr>
        <w:p w:rsidR="00EC5A4B" w:rsidRPr="00360EE8" w:rsidRDefault="00EC5A4B" w:rsidP="002E5F59">
          <w:pPr>
            <w:pStyle w:val="Encabezado"/>
            <w:rPr>
              <w:rFonts w:ascii="Gill Sans" w:hAnsi="Gill Sans"/>
              <w:sz w:val="14"/>
              <w:szCs w:val="14"/>
            </w:rPr>
          </w:pPr>
        </w:p>
        <w:p w:rsidR="00EC5A4B" w:rsidRDefault="00EC5A4B" w:rsidP="002E5F59">
          <w:pPr>
            <w:pStyle w:val="Encabezado"/>
          </w:pPr>
        </w:p>
      </w:tc>
      <w:tc>
        <w:tcPr>
          <w:tcW w:w="7088" w:type="dxa"/>
          <w:vMerge w:val="restart"/>
        </w:tcPr>
        <w:p w:rsidR="00EC5A4B" w:rsidRDefault="00EC5A4B" w:rsidP="002E5F59">
          <w:pPr>
            <w:pStyle w:val="Encabezado"/>
            <w:rPr>
              <w:rFonts w:ascii="Gill Sans" w:hAnsi="Gill Sans"/>
              <w:sz w:val="14"/>
            </w:rPr>
          </w:pPr>
        </w:p>
        <w:p w:rsidR="00EC5A4B" w:rsidRDefault="00EC5A4B" w:rsidP="002E5F59">
          <w:pPr>
            <w:pStyle w:val="Encabezado"/>
            <w:rPr>
              <w:rFonts w:ascii="Gill Sans" w:hAnsi="Gill Sans"/>
              <w:sz w:val="14"/>
            </w:rPr>
          </w:pPr>
        </w:p>
        <w:p w:rsidR="00EC5A4B" w:rsidRDefault="00EC5A4B" w:rsidP="00EC5A4B">
          <w:pPr>
            <w:pStyle w:val="Encabezado"/>
            <w:spacing w:line="160" w:lineRule="atLeast"/>
            <w:rPr>
              <w:rFonts w:ascii="Gill Sans" w:hAnsi="Gill Sans"/>
              <w:sz w:val="14"/>
            </w:rPr>
          </w:pPr>
        </w:p>
      </w:tc>
    </w:tr>
    <w:tr w:rsidR="00EC5A4B">
      <w:trPr>
        <w:cantSplit/>
        <w:trHeight w:val="884"/>
        <w:jc w:val="center"/>
      </w:trPr>
      <w:tc>
        <w:tcPr>
          <w:tcW w:w="1418" w:type="dxa"/>
          <w:vMerge/>
        </w:tcPr>
        <w:p w:rsidR="00EC5A4B" w:rsidRDefault="00EC5A4B" w:rsidP="002E5F59">
          <w:pPr>
            <w:pStyle w:val="Encabezado"/>
          </w:pPr>
        </w:p>
      </w:tc>
      <w:tc>
        <w:tcPr>
          <w:tcW w:w="7088" w:type="dxa"/>
          <w:vMerge/>
        </w:tcPr>
        <w:p w:rsidR="00EC5A4B" w:rsidRDefault="00EC5A4B" w:rsidP="002E5F59">
          <w:pPr>
            <w:pStyle w:val="Encabezado"/>
          </w:pPr>
        </w:p>
      </w:tc>
    </w:tr>
  </w:tbl>
  <w:p w:rsidR="002E5F59" w:rsidRPr="00D02173" w:rsidRDefault="002E5F59" w:rsidP="002E5F59">
    <w:pPr>
      <w:pStyle w:val="Encabezado"/>
      <w:rPr>
        <w:rFonts w:ascii="Gill Sans" w:hAnsi="Gill Sans"/>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1206" w:type="dxa"/>
      <w:tblLayout w:type="fixed"/>
      <w:tblCellMar>
        <w:left w:w="70" w:type="dxa"/>
        <w:right w:w="70" w:type="dxa"/>
      </w:tblCellMar>
      <w:tblLook w:val="0000" w:firstRow="0" w:lastRow="0" w:firstColumn="0" w:lastColumn="0" w:noHBand="0" w:noVBand="0"/>
    </w:tblPr>
    <w:tblGrid>
      <w:gridCol w:w="1418"/>
    </w:tblGrid>
    <w:tr w:rsidR="002D7554">
      <w:trPr>
        <w:cantSplit/>
        <w:trHeight w:val="379"/>
        <w:jc w:val="center"/>
      </w:trPr>
      <w:tc>
        <w:tcPr>
          <w:tcW w:w="1418" w:type="dxa"/>
          <w:vMerge w:val="restart"/>
        </w:tcPr>
        <w:p w:rsidR="002D7554" w:rsidRPr="00360EE8" w:rsidRDefault="002D7554" w:rsidP="007947F3">
          <w:pPr>
            <w:pStyle w:val="Encabezado"/>
            <w:rPr>
              <w:rFonts w:ascii="Gill Sans" w:hAnsi="Gill Sans"/>
              <w:sz w:val="14"/>
              <w:szCs w:val="14"/>
            </w:rPr>
          </w:pPr>
        </w:p>
        <w:p w:rsidR="002D7554" w:rsidRDefault="002D7554" w:rsidP="002E5F59">
          <w:pPr>
            <w:pStyle w:val="Encabezado"/>
          </w:pPr>
        </w:p>
      </w:tc>
    </w:tr>
    <w:tr w:rsidR="002D7554">
      <w:trPr>
        <w:cantSplit/>
        <w:trHeight w:val="884"/>
        <w:jc w:val="center"/>
      </w:trPr>
      <w:tc>
        <w:tcPr>
          <w:tcW w:w="1418" w:type="dxa"/>
          <w:vMerge/>
        </w:tcPr>
        <w:p w:rsidR="002D7554" w:rsidRDefault="002D7554" w:rsidP="002E5F59">
          <w:pPr>
            <w:pStyle w:val="Encabezado"/>
          </w:pPr>
        </w:p>
      </w:tc>
    </w:tr>
  </w:tbl>
  <w:p w:rsidR="002E5F59" w:rsidRPr="00D02173" w:rsidRDefault="002E5F59" w:rsidP="00D02173">
    <w:pPr>
      <w:pStyle w:val="Encabezado"/>
      <w:rPr>
        <w:rFonts w:ascii="Gill Sans" w:hAnsi="Gill San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B401540"/>
    <w:multiLevelType w:val="hybridMultilevel"/>
    <w:tmpl w:val="8A8A67B2"/>
    <w:lvl w:ilvl="0" w:tplc="0DD2B37E">
      <w:start w:val="2"/>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23E2609"/>
    <w:multiLevelType w:val="hybridMultilevel"/>
    <w:tmpl w:val="A5089FE6"/>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5F7552CA"/>
    <w:multiLevelType w:val="singleLevel"/>
    <w:tmpl w:val="C9EE66B4"/>
    <w:lvl w:ilvl="0">
      <w:start w:val="1"/>
      <w:numFmt w:val="upperLetter"/>
      <w:lvlText w:val="%1."/>
      <w:lvlJc w:val="left"/>
      <w:pPr>
        <w:tabs>
          <w:tab w:val="num" w:pos="360"/>
        </w:tabs>
        <w:ind w:left="360" w:hanging="360"/>
      </w:pPr>
    </w:lvl>
  </w:abstractNum>
  <w:abstractNum w:abstractNumId="4">
    <w:nsid w:val="76D8136C"/>
    <w:multiLevelType w:val="singleLevel"/>
    <w:tmpl w:val="874A9360"/>
    <w:lvl w:ilvl="0">
      <w:start w:val="2"/>
      <w:numFmt w:val="upperLetter"/>
      <w:lvlText w:val="%1."/>
      <w:lvlJc w:val="left"/>
      <w:pPr>
        <w:tabs>
          <w:tab w:val="num" w:pos="360"/>
        </w:tabs>
        <w:ind w:left="360" w:hanging="360"/>
      </w:pPr>
    </w:lvl>
  </w:abstractNum>
  <w:abstractNum w:abstractNumId="5">
    <w:nsid w:val="7EF304BB"/>
    <w:multiLevelType w:val="hybridMultilevel"/>
    <w:tmpl w:val="6FA23348"/>
    <w:lvl w:ilvl="0" w:tplc="0DD2B37E">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396" w:hanging="283"/>
        </w:pPr>
        <w:rPr>
          <w:rFonts w:ascii="Symbol" w:hAnsi="Symbol" w:hint="default"/>
        </w:rPr>
      </w:lvl>
    </w:lvlOverride>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3AA"/>
    <w:rsid w:val="0007254F"/>
    <w:rsid w:val="002D7554"/>
    <w:rsid w:val="002E5F59"/>
    <w:rsid w:val="002F7DB9"/>
    <w:rsid w:val="00360EE8"/>
    <w:rsid w:val="003B63AA"/>
    <w:rsid w:val="003C67F1"/>
    <w:rsid w:val="0045195A"/>
    <w:rsid w:val="00470B1F"/>
    <w:rsid w:val="007947F3"/>
    <w:rsid w:val="00814377"/>
    <w:rsid w:val="00855E89"/>
    <w:rsid w:val="00A26440"/>
    <w:rsid w:val="00A77BAC"/>
    <w:rsid w:val="00AC276B"/>
    <w:rsid w:val="00B50021"/>
    <w:rsid w:val="00C22BC7"/>
    <w:rsid w:val="00C333F9"/>
    <w:rsid w:val="00C94B0E"/>
    <w:rsid w:val="00D02173"/>
    <w:rsid w:val="00D87B09"/>
    <w:rsid w:val="00EC5A4B"/>
    <w:rsid w:val="00F008BB"/>
    <w:rsid w:val="00F06B6F"/>
    <w:rsid w:val="00F158FA"/>
    <w:rsid w:val="00F80FC0"/>
    <w:rsid w:val="00F901EE"/>
    <w:rsid w:val="00F976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6B6F"/>
    <w:pPr>
      <w:spacing w:line="360" w:lineRule="auto"/>
      <w:jc w:val="both"/>
    </w:pPr>
    <w:rPr>
      <w:rFonts w:ascii="Arial Narrow" w:hAnsi="Arial Narrow"/>
      <w:sz w:val="22"/>
      <w:szCs w:val="24"/>
    </w:rPr>
  </w:style>
  <w:style w:type="paragraph" w:styleId="Ttulo1">
    <w:name w:val="heading 1"/>
    <w:basedOn w:val="Ttulo2"/>
    <w:next w:val="Normal"/>
    <w:qFormat/>
    <w:rsid w:val="00F901EE"/>
    <w:pPr>
      <w:outlineLvl w:val="0"/>
    </w:pPr>
    <w:rPr>
      <w:i/>
    </w:rPr>
  </w:style>
  <w:style w:type="paragraph" w:styleId="Ttulo2">
    <w:name w:val="heading 2"/>
    <w:basedOn w:val="Normal"/>
    <w:next w:val="Normal"/>
    <w:qFormat/>
    <w:rsid w:val="00F901EE"/>
    <w:pPr>
      <w:keepNext/>
      <w:spacing w:before="240" w:after="60"/>
      <w:outlineLvl w:val="1"/>
    </w:pPr>
    <w:rPr>
      <w:rFonts w:ascii="Arial" w:hAnsi="Arial" w:cs="Arial"/>
      <w:b/>
      <w:bCs/>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uiPriority w:val="59"/>
    <w:rsid w:val="003B63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C22BC7"/>
  </w:style>
  <w:style w:type="paragraph" w:styleId="Textonotapie">
    <w:name w:val="footnote text"/>
    <w:basedOn w:val="Normal"/>
    <w:link w:val="TextonotapieCar"/>
    <w:uiPriority w:val="99"/>
    <w:unhideWhenUsed/>
    <w:rsid w:val="003B63AA"/>
    <w:pPr>
      <w:spacing w:line="240" w:lineRule="auto"/>
      <w:jc w:val="left"/>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rsid w:val="003B63AA"/>
    <w:rPr>
      <w:rFonts w:ascii="Calibri" w:eastAsia="Calibri" w:hAnsi="Calibri"/>
      <w:lang w:eastAsia="en-US"/>
    </w:rPr>
  </w:style>
  <w:style w:type="character" w:styleId="Refdenotaalpie">
    <w:name w:val="footnote reference"/>
    <w:uiPriority w:val="99"/>
    <w:unhideWhenUsed/>
    <w:rsid w:val="003B63AA"/>
    <w:rPr>
      <w:vertAlign w:val="superscript"/>
    </w:rPr>
  </w:style>
  <w:style w:type="paragraph" w:styleId="Prrafodelista">
    <w:name w:val="List Paragraph"/>
    <w:basedOn w:val="Normal"/>
    <w:uiPriority w:val="34"/>
    <w:qFormat/>
    <w:rsid w:val="00F158FA"/>
    <w:pPr>
      <w:ind w:left="720"/>
      <w:contextualSpacing/>
    </w:pPr>
  </w:style>
  <w:style w:type="paragraph" w:styleId="Textodeglobo">
    <w:name w:val="Balloon Text"/>
    <w:basedOn w:val="Normal"/>
    <w:link w:val="TextodegloboCar"/>
    <w:rsid w:val="00A77BAC"/>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A77B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6B6F"/>
    <w:pPr>
      <w:spacing w:line="360" w:lineRule="auto"/>
      <w:jc w:val="both"/>
    </w:pPr>
    <w:rPr>
      <w:rFonts w:ascii="Arial Narrow" w:hAnsi="Arial Narrow"/>
      <w:sz w:val="22"/>
      <w:szCs w:val="24"/>
    </w:rPr>
  </w:style>
  <w:style w:type="paragraph" w:styleId="Ttulo1">
    <w:name w:val="heading 1"/>
    <w:basedOn w:val="Ttulo2"/>
    <w:next w:val="Normal"/>
    <w:qFormat/>
    <w:rsid w:val="00F901EE"/>
    <w:pPr>
      <w:outlineLvl w:val="0"/>
    </w:pPr>
    <w:rPr>
      <w:i/>
    </w:rPr>
  </w:style>
  <w:style w:type="paragraph" w:styleId="Ttulo2">
    <w:name w:val="heading 2"/>
    <w:basedOn w:val="Normal"/>
    <w:next w:val="Normal"/>
    <w:qFormat/>
    <w:rsid w:val="00F901EE"/>
    <w:pPr>
      <w:keepNext/>
      <w:spacing w:before="240" w:after="60"/>
      <w:outlineLvl w:val="1"/>
    </w:pPr>
    <w:rPr>
      <w:rFonts w:ascii="Arial" w:hAnsi="Arial" w:cs="Arial"/>
      <w:b/>
      <w:bCs/>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uiPriority w:val="59"/>
    <w:rsid w:val="003B63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C22BC7"/>
  </w:style>
  <w:style w:type="paragraph" w:styleId="Textonotapie">
    <w:name w:val="footnote text"/>
    <w:basedOn w:val="Normal"/>
    <w:link w:val="TextonotapieCar"/>
    <w:uiPriority w:val="99"/>
    <w:unhideWhenUsed/>
    <w:rsid w:val="003B63AA"/>
    <w:pPr>
      <w:spacing w:line="240" w:lineRule="auto"/>
      <w:jc w:val="left"/>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rsid w:val="003B63AA"/>
    <w:rPr>
      <w:rFonts w:ascii="Calibri" w:eastAsia="Calibri" w:hAnsi="Calibri"/>
      <w:lang w:eastAsia="en-US"/>
    </w:rPr>
  </w:style>
  <w:style w:type="character" w:styleId="Refdenotaalpie">
    <w:name w:val="footnote reference"/>
    <w:uiPriority w:val="99"/>
    <w:unhideWhenUsed/>
    <w:rsid w:val="003B63AA"/>
    <w:rPr>
      <w:vertAlign w:val="superscript"/>
    </w:rPr>
  </w:style>
  <w:style w:type="paragraph" w:styleId="Prrafodelista">
    <w:name w:val="List Paragraph"/>
    <w:basedOn w:val="Normal"/>
    <w:uiPriority w:val="34"/>
    <w:qFormat/>
    <w:rsid w:val="00F158FA"/>
    <w:pPr>
      <w:ind w:left="720"/>
      <w:contextualSpacing/>
    </w:pPr>
  </w:style>
  <w:style w:type="paragraph" w:styleId="Textodeglobo">
    <w:name w:val="Balloon Text"/>
    <w:basedOn w:val="Normal"/>
    <w:link w:val="TextodegloboCar"/>
    <w:rsid w:val="00A77BAC"/>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A77B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rrolaz\AppData\Roaming\Microsoft\Plantillas\Papel%20VI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VICE</Template>
  <TotalTime>6</TotalTime>
  <Pages>5</Pages>
  <Words>2143</Words>
  <Characters>12740</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Cerrolaza Gómez, Antonio</dc:creator>
  <cp:lastModifiedBy>Cerrolaza Gómez, Antonio</cp:lastModifiedBy>
  <cp:revision>5</cp:revision>
  <cp:lastPrinted>2015-12-17T12:16:00Z</cp:lastPrinted>
  <dcterms:created xsi:type="dcterms:W3CDTF">2017-10-18T12:13:00Z</dcterms:created>
  <dcterms:modified xsi:type="dcterms:W3CDTF">2017-10-19T16:32:00Z</dcterms:modified>
</cp:coreProperties>
</file>