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65" w:rsidRPr="00A34C65" w:rsidRDefault="00A34C65" w:rsidP="00A34C65">
      <w:pPr>
        <w:pStyle w:val="Default"/>
      </w:pPr>
    </w:p>
    <w:p w:rsidR="00A34C65" w:rsidRPr="00A34C65" w:rsidRDefault="00A34C65" w:rsidP="00A34C65">
      <w:pPr>
        <w:pStyle w:val="Default"/>
        <w:spacing w:after="220" w:line="201" w:lineRule="atLeast"/>
        <w:jc w:val="both"/>
        <w:rPr>
          <w:b/>
        </w:rPr>
      </w:pPr>
      <w:r w:rsidRPr="00A34C65">
        <w:rPr>
          <w:b/>
        </w:rPr>
        <w:t xml:space="preserve"> </w:t>
      </w:r>
      <w:r w:rsidRPr="00A34C65">
        <w:rPr>
          <w:b/>
          <w:i/>
          <w:iCs/>
        </w:rPr>
        <w:t>LEY 39/2015, DE 1 DE OCTUBRE, DEL PROCEDIMIENTO ADMINISTRATIVO COMÚN DE LAS ADMINISTRACIONES PÚBLICAS.</w:t>
      </w:r>
    </w:p>
    <w:p w:rsidR="00A34C65" w:rsidRPr="00A34C65" w:rsidRDefault="00A34C65" w:rsidP="00A34C65">
      <w:pPr>
        <w:pStyle w:val="Pa11"/>
        <w:spacing w:before="220" w:after="143"/>
        <w:ind w:hanging="340"/>
        <w:jc w:val="both"/>
        <w:rPr>
          <w:b/>
        </w:rPr>
      </w:pPr>
      <w:r w:rsidRPr="00A34C65">
        <w:rPr>
          <w:b/>
          <w:highlight w:val="yellow"/>
        </w:rPr>
        <w:t xml:space="preserve">Artículo 133. </w:t>
      </w:r>
      <w:r w:rsidRPr="00A34C65">
        <w:rPr>
          <w:b/>
          <w:i/>
          <w:iCs/>
          <w:highlight w:val="yellow"/>
        </w:rPr>
        <w:t>Participación de los ciudadanos en el procedimiento de elaboración de normas con rango de Ley y reglamentos.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 xml:space="preserve">1. Con carácter previo a la elaboración del proyecto o anteproyecto de ley o de reglamento, </w:t>
      </w:r>
      <w:r w:rsidRPr="00A34C65">
        <w:rPr>
          <w:b/>
        </w:rPr>
        <w:t>se sustanciará una consulta pública,</w:t>
      </w:r>
      <w:r w:rsidRPr="00A34C65">
        <w:t xml:space="preserve"> a través del portal web de la Administración competente en la que se recabará la opinión de los sujetos y de las organizaciones más representativas potencialmente </w:t>
      </w:r>
      <w:proofErr w:type="gramStart"/>
      <w:r w:rsidRPr="00A34C65">
        <w:t>afectados</w:t>
      </w:r>
      <w:proofErr w:type="gramEnd"/>
      <w:r w:rsidRPr="00A34C65">
        <w:t xml:space="preserve"> por la futura norma acerca de:</w:t>
      </w:r>
    </w:p>
    <w:p w:rsidR="00A34C65" w:rsidRPr="00A34C65" w:rsidRDefault="00A34C65" w:rsidP="00A34C65">
      <w:pPr>
        <w:pStyle w:val="Pa8"/>
        <w:spacing w:before="160"/>
        <w:ind w:firstLine="340"/>
        <w:jc w:val="both"/>
      </w:pPr>
      <w:r w:rsidRPr="00A34C65">
        <w:t>a) Los problemas que se pretenden solucionar con la iniciativa.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>b) La necesidad y oportunidad de su aprobación.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>c) Los objetivos de la norma.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>d) Las posibles soluciones alternativas regulatorias y no regulatorias.</w:t>
      </w:r>
    </w:p>
    <w:p w:rsidR="00A34C65" w:rsidRPr="00A34C65" w:rsidRDefault="00A34C65" w:rsidP="00A34C65">
      <w:pPr>
        <w:pStyle w:val="Pa8"/>
        <w:spacing w:before="160"/>
        <w:ind w:firstLine="340"/>
        <w:jc w:val="both"/>
      </w:pPr>
      <w:r w:rsidRPr="00A34C65">
        <w:t xml:space="preserve">2. </w:t>
      </w:r>
      <w:r w:rsidRPr="00A34C65">
        <w:rPr>
          <w:b/>
        </w:rPr>
        <w:t xml:space="preserve">Sin perjuicio de la consulta previa a la redacción del texto de la iniciativa, cuando la norma afecte a los derechos e intereses legítimos de las personas, el centro directivo competente publicará el texto en el portal web correspondiente, con el objeto de dar audiencia a los ciudadanos afectados </w:t>
      </w:r>
      <w:r w:rsidRPr="00A34C65">
        <w:t>y recabar cuantas aportaciones adicionales puedan hacerse por otras personas o entidades. Asimismo, podrá también recabarse directamente la opinión de las organizaciones o asociaciones reconocidas por ley que agrupen o representen a las personas cuyos derechos o intereses legítimos se vieren afectados por la norma y cuyos fines guarden relación directa con su objeto.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>3. La consulta, audiencia e información públicas reguladas en este artículo deberán realizarse de forma tal que los potenciales destinatarios de la norma y quienes realicen aportaciones sobre ella tengan la posibilidad de emitir su opinión, para lo cual deberán ponerse a su disposición los documentos necesarios, que serán claros, concisos y reunir toda la información precisa para poder pronunciarse sobre la materia.</w:t>
      </w:r>
    </w:p>
    <w:p w:rsidR="00A34C65" w:rsidRPr="00A34C65" w:rsidRDefault="00A34C65" w:rsidP="00A34C65">
      <w:pPr>
        <w:pStyle w:val="Pa9"/>
        <w:ind w:firstLine="340"/>
        <w:jc w:val="both"/>
      </w:pPr>
      <w:r w:rsidRPr="00A34C65">
        <w:t xml:space="preserve">4. </w:t>
      </w:r>
      <w:bookmarkStart w:id="0" w:name="_GoBack"/>
      <w:r w:rsidRPr="00A34C65">
        <w:rPr>
          <w:b/>
        </w:rPr>
        <w:t>Podrá prescindirse de los trámites de consulta, audiencia e información públicas</w:t>
      </w:r>
      <w:r w:rsidRPr="00A34C65">
        <w:t xml:space="preserve"> previstos en este artículo en el caso de normas presupuestarias u organizativas de la Administración General del Estado, la Administración autonómica, la Administración local o de las organizaciones dependientes o vinculadas a éstas, o cuando concurran razones graves de interés público que lo justifiquen.</w:t>
      </w:r>
      <w:bookmarkEnd w:id="0"/>
    </w:p>
    <w:p w:rsidR="00A34C65" w:rsidRPr="00A34C65" w:rsidRDefault="00A34C65" w:rsidP="00A34C65">
      <w:pPr>
        <w:pStyle w:val="Pa9"/>
        <w:ind w:firstLine="340"/>
        <w:jc w:val="both"/>
      </w:pPr>
      <w:r w:rsidRPr="00832526">
        <w:rPr>
          <w:b/>
        </w:rPr>
        <w:t>Cuando la propuesta normativa no tenga un impacto significativo en la actividad económica, no imponga obligaciones relevantes a los destinatarios o regule aspectos parciales de una materia, podrá omitirse la consulta pública regulada en el apartado primero</w:t>
      </w:r>
      <w:r w:rsidRPr="00A34C65">
        <w:t xml:space="preserve">. Si la normativa reguladora del ejercicio de la iniciativa legislativa o de la potestad reglamentaria por una Administración prevé la tramitación urgente de estos procedimientos, la eventual excepción del trámite por esta circunstancia se ajustará a lo previsto en aquella. </w:t>
      </w:r>
    </w:p>
    <w:sectPr w:rsidR="00A34C65" w:rsidRPr="00A34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65"/>
    <w:rsid w:val="00440CC3"/>
    <w:rsid w:val="004823AB"/>
    <w:rsid w:val="00832526"/>
    <w:rsid w:val="00924202"/>
    <w:rsid w:val="00A34C65"/>
    <w:rsid w:val="00A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4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34C65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4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A34C65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34C6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Hurtado Costero, Silvia</dc:creator>
  <cp:lastModifiedBy>Hurtado Costero, Silvia</cp:lastModifiedBy>
  <cp:revision>3</cp:revision>
  <dcterms:created xsi:type="dcterms:W3CDTF">2017-06-12T06:39:00Z</dcterms:created>
  <dcterms:modified xsi:type="dcterms:W3CDTF">2017-06-15T09:44:00Z</dcterms:modified>
</cp:coreProperties>
</file>