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78" w:rsidRPr="00FA6C40" w:rsidRDefault="00250478" w:rsidP="00250478">
      <w:pPr>
        <w:suppressAutoHyphens/>
        <w:spacing w:line="360" w:lineRule="auto"/>
        <w:rPr>
          <w:rFonts w:cs="Arial"/>
          <w:b/>
          <w:sz w:val="24"/>
          <w:lang w:val="es-ES_tradnl" w:eastAsia="ar-SA"/>
        </w:rPr>
      </w:pPr>
      <w:r w:rsidRPr="00FA6C40">
        <w:rPr>
          <w:rFonts w:cs="Arial"/>
          <w:b/>
          <w:sz w:val="24"/>
          <w:lang w:val="es-ES_tradnl" w:eastAsia="ar-SA"/>
        </w:rPr>
        <w:t xml:space="preserve">Tabla de correspondencia. Aplicación de derecho de la Unión Europea </w:t>
      </w:r>
    </w:p>
    <w:p w:rsidR="00250478" w:rsidRPr="00FA6C40" w:rsidRDefault="00250478" w:rsidP="00250478">
      <w:pPr>
        <w:suppressAutoHyphens/>
        <w:spacing w:line="360" w:lineRule="auto"/>
        <w:rPr>
          <w:rFonts w:cs="Arial"/>
          <w:sz w:val="24"/>
          <w:lang w:val="es-ES_tradnl" w:eastAsia="ar-SA"/>
        </w:rPr>
      </w:pPr>
    </w:p>
    <w:p w:rsidR="00250478" w:rsidRPr="00FA6C40" w:rsidRDefault="00250478" w:rsidP="00250478">
      <w:pPr>
        <w:suppressAutoHyphens/>
        <w:spacing w:line="360" w:lineRule="auto"/>
        <w:ind w:firstLine="708"/>
        <w:rPr>
          <w:rFonts w:cs="Arial"/>
          <w:b/>
          <w:strike/>
          <w:sz w:val="24"/>
          <w:lang w:val="es-ES_tradnl" w:eastAsia="ar-SA"/>
        </w:rPr>
      </w:pPr>
      <w:r w:rsidRPr="00FA6C40">
        <w:rPr>
          <w:rFonts w:cs="Arial"/>
          <w:sz w:val="24"/>
          <w:lang w:val="es-ES_tradnl" w:eastAsia="ar-SA"/>
        </w:rPr>
        <w:t>A continuación se recoge una tabla de cor</w:t>
      </w:r>
      <w:r w:rsidR="009872DD">
        <w:rPr>
          <w:rFonts w:cs="Arial"/>
          <w:sz w:val="24"/>
          <w:lang w:val="es-ES_tradnl" w:eastAsia="ar-SA"/>
        </w:rPr>
        <w:t>respondencia entre los artículos</w:t>
      </w:r>
      <w:r w:rsidRPr="00FA6C40">
        <w:rPr>
          <w:rFonts w:cs="Arial"/>
          <w:sz w:val="24"/>
          <w:lang w:val="es-ES_tradnl" w:eastAsia="ar-SA"/>
        </w:rPr>
        <w:t xml:space="preserve"> d</w:t>
      </w:r>
      <w:r>
        <w:rPr>
          <w:rFonts w:cs="Arial"/>
          <w:sz w:val="24"/>
          <w:lang w:val="es-ES_tradnl" w:eastAsia="ar-SA"/>
        </w:rPr>
        <w:t xml:space="preserve">el proyecto </w:t>
      </w:r>
      <w:r w:rsidR="000C1FAA">
        <w:rPr>
          <w:rFonts w:cs="Arial"/>
          <w:sz w:val="24"/>
          <w:lang w:val="es-ES_tradnl" w:eastAsia="ar-SA"/>
        </w:rPr>
        <w:t xml:space="preserve">normativo </w:t>
      </w:r>
      <w:r>
        <w:rPr>
          <w:rFonts w:cs="Arial"/>
          <w:sz w:val="24"/>
          <w:lang w:val="es-ES_tradnl" w:eastAsia="ar-SA"/>
        </w:rPr>
        <w:t>y los de la norma comunitaria</w:t>
      </w:r>
      <w:r w:rsidR="009872DD">
        <w:rPr>
          <w:rFonts w:cs="Arial"/>
          <w:sz w:val="24"/>
          <w:lang w:val="es-ES_tradnl" w:eastAsia="ar-SA"/>
        </w:rPr>
        <w:t xml:space="preserve"> (Se trata de un ejemplo ficticio)</w:t>
      </w:r>
      <w:r>
        <w:rPr>
          <w:rFonts w:cs="Arial"/>
          <w:sz w:val="24"/>
          <w:lang w:val="es-ES_tradnl" w:eastAsia="ar-SA"/>
        </w:rPr>
        <w:t xml:space="preserve"> </w:t>
      </w:r>
      <w:r w:rsidRPr="00FA6C40">
        <w:rPr>
          <w:rFonts w:cs="Arial"/>
          <w:sz w:val="24"/>
          <w:lang w:val="es-ES_tradnl" w:eastAsia="ar-SA"/>
        </w:rPr>
        <w:t xml:space="preserve"> </w:t>
      </w:r>
    </w:p>
    <w:p w:rsidR="00250478" w:rsidRPr="00FA6C40" w:rsidRDefault="00250478" w:rsidP="00250478">
      <w:pPr>
        <w:suppressAutoHyphens/>
        <w:spacing w:line="360" w:lineRule="auto"/>
        <w:rPr>
          <w:rFonts w:cs="Arial"/>
          <w:sz w:val="24"/>
          <w:lang w:val="es-ES_tradnl" w:eastAsia="ar-S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250478" w:rsidRPr="00FA6C40" w:rsidTr="00810219">
        <w:trPr>
          <w:tblHeader/>
          <w:jc w:val="center"/>
        </w:trPr>
        <w:tc>
          <w:tcPr>
            <w:tcW w:w="4503" w:type="dxa"/>
          </w:tcPr>
          <w:p w:rsidR="00250478" w:rsidRPr="00FA6C40" w:rsidRDefault="00250478" w:rsidP="00810219">
            <w:pPr>
              <w:suppressAutoHyphens/>
              <w:spacing w:line="360" w:lineRule="auto"/>
              <w:jc w:val="center"/>
              <w:rPr>
                <w:rFonts w:cs="Arial"/>
                <w:b/>
                <w:szCs w:val="22"/>
                <w:lang w:val="es-ES_tradnl" w:eastAsia="ar-SA"/>
              </w:rPr>
            </w:pPr>
            <w:r w:rsidRPr="00FA6C40">
              <w:rPr>
                <w:rFonts w:cs="Arial"/>
                <w:b/>
                <w:szCs w:val="22"/>
                <w:lang w:val="es-ES_tradnl" w:eastAsia="ar-SA"/>
              </w:rPr>
              <w:t>Anteproyecto de ley</w:t>
            </w:r>
          </w:p>
        </w:tc>
        <w:tc>
          <w:tcPr>
            <w:tcW w:w="4819" w:type="dxa"/>
          </w:tcPr>
          <w:p w:rsidR="00250478" w:rsidRPr="00FA6C40" w:rsidRDefault="00250478" w:rsidP="00810219">
            <w:pPr>
              <w:suppressAutoHyphens/>
              <w:spacing w:line="360" w:lineRule="auto"/>
              <w:rPr>
                <w:rFonts w:cs="Arial"/>
                <w:b/>
                <w:szCs w:val="22"/>
                <w:lang w:val="es-ES_tradnl" w:eastAsia="ar-SA"/>
              </w:rPr>
            </w:pPr>
            <w:r>
              <w:rPr>
                <w:rFonts w:cs="Arial"/>
                <w:b/>
                <w:szCs w:val="22"/>
                <w:lang w:val="es-ES_tradnl" w:eastAsia="ar-SA"/>
              </w:rPr>
              <w:t>Norma comunitaria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1(Objeto)</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Artículos 1 (Objeto), 4 (</w:t>
            </w:r>
            <w:r w:rsidR="009872DD">
              <w:rPr>
                <w:rFonts w:cs="Arial"/>
                <w:sz w:val="24"/>
                <w:lang w:val="es-ES_tradnl" w:eastAsia="ar-SA"/>
              </w:rPr>
              <w:t>U</w:t>
            </w:r>
            <w:r w:rsidRPr="00FA6C40">
              <w:rPr>
                <w:rFonts w:cs="Arial"/>
                <w:sz w:val="24"/>
                <w:lang w:val="es-ES_tradnl" w:eastAsia="ar-SA"/>
              </w:rPr>
              <w:t>tilización</w:t>
            </w:r>
            <w:r w:rsidR="009872DD">
              <w:rPr>
                <w:rFonts w:cs="Arial"/>
                <w:sz w:val="24"/>
                <w:lang w:val="es-ES_tradnl" w:eastAsia="ar-SA"/>
              </w:rPr>
              <w:t xml:space="preserve"> de los productos</w:t>
            </w:r>
            <w:r w:rsidRPr="00FA6C40">
              <w:rPr>
                <w:rFonts w:cs="Arial"/>
                <w:sz w:val="24"/>
                <w:lang w:val="es-ES_tradnl" w:eastAsia="ar-SA"/>
              </w:rPr>
              <w:t xml:space="preserve">),  9 </w:t>
            </w:r>
          </w:p>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 xml:space="preserve">(Comunicación </w:t>
            </w:r>
            <w:r w:rsidR="009872DD">
              <w:rPr>
                <w:rFonts w:cs="Arial"/>
                <w:sz w:val="24"/>
                <w:lang w:val="es-ES_tradnl" w:eastAsia="ar-SA"/>
              </w:rPr>
              <w:t xml:space="preserve">de </w:t>
            </w:r>
            <w:r w:rsidRPr="00FA6C40">
              <w:rPr>
                <w:rFonts w:cs="Arial"/>
                <w:sz w:val="24"/>
                <w:lang w:val="es-ES_tradnl" w:eastAsia="ar-SA"/>
              </w:rPr>
              <w:t>desapariciones y robos)  y 11(Sanciones)</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 xml:space="preserve">Artículo 2 (Ámbito de aplicación) </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Artículos 2 (Ámbito de aplicación) y 13 (Cláusula de salvaguardia)</w:t>
            </w:r>
          </w:p>
        </w:tc>
      </w:tr>
      <w:tr w:rsidR="00250478" w:rsidRPr="00FA6C40" w:rsidTr="00810219">
        <w:trPr>
          <w:jc w:val="center"/>
        </w:trPr>
        <w:tc>
          <w:tcPr>
            <w:tcW w:w="4503"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 xml:space="preserve">Artículo 3 (Punto de contacto </w:t>
            </w:r>
            <w:r w:rsidR="009872DD">
              <w:rPr>
                <w:rFonts w:cs="Arial"/>
                <w:sz w:val="24"/>
                <w:lang w:val="es-ES_tradnl" w:eastAsia="ar-SA"/>
              </w:rPr>
              <w:t xml:space="preserve"> para recibir las comunicaciones</w:t>
            </w:r>
            <w:r w:rsidRPr="00FA6C40">
              <w:rPr>
                <w:rFonts w:cs="Arial"/>
                <w:sz w:val="24"/>
                <w:lang w:val="es-ES_tradnl" w:eastAsia="ar-SA"/>
              </w:rPr>
              <w:t>)</w:t>
            </w:r>
          </w:p>
        </w:tc>
        <w:tc>
          <w:tcPr>
            <w:tcW w:w="4819"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Artículo 9.2 y 4 (Comunicación</w:t>
            </w:r>
            <w:r w:rsidR="009872DD">
              <w:rPr>
                <w:rFonts w:cs="Arial"/>
                <w:sz w:val="24"/>
                <w:lang w:val="es-ES_tradnl" w:eastAsia="ar-SA"/>
              </w:rPr>
              <w:t xml:space="preserve"> de</w:t>
            </w:r>
            <w:r w:rsidRPr="00FA6C40">
              <w:rPr>
                <w:rFonts w:cs="Arial"/>
                <w:sz w:val="24"/>
                <w:lang w:val="es-ES_tradnl" w:eastAsia="ar-SA"/>
              </w:rPr>
              <w:t xml:space="preserve"> desapariciones y robos)  </w:t>
            </w:r>
          </w:p>
        </w:tc>
      </w:tr>
      <w:tr w:rsidR="00250478" w:rsidRPr="00FA6C40" w:rsidTr="00810219">
        <w:trPr>
          <w:jc w:val="center"/>
        </w:trPr>
        <w:tc>
          <w:tcPr>
            <w:tcW w:w="4503" w:type="dxa"/>
          </w:tcPr>
          <w:p w:rsidR="00250478" w:rsidRPr="00FA6C40" w:rsidRDefault="009872DD" w:rsidP="00810219">
            <w:pPr>
              <w:suppressAutoHyphens/>
              <w:spacing w:line="360" w:lineRule="auto"/>
              <w:rPr>
                <w:rFonts w:cs="Arial"/>
                <w:sz w:val="24"/>
                <w:lang w:val="es-ES_tradnl" w:eastAsia="ar-SA"/>
              </w:rPr>
            </w:pPr>
            <w:r>
              <w:rPr>
                <w:rFonts w:cs="Arial"/>
                <w:sz w:val="24"/>
                <w:lang w:val="es-ES_tradnl" w:eastAsia="ar-SA"/>
              </w:rPr>
              <w:t>Artículo 4 (Autorizaciones</w:t>
            </w:r>
            <w:r w:rsidR="00250478" w:rsidRPr="00FA6C40">
              <w:rPr>
                <w:rFonts w:cs="Arial"/>
                <w:sz w:val="24"/>
                <w:lang w:val="es-ES_tradnl" w:eastAsia="ar-SA"/>
              </w:rPr>
              <w:t>)</w:t>
            </w:r>
          </w:p>
        </w:tc>
        <w:tc>
          <w:tcPr>
            <w:tcW w:w="4819" w:type="dxa"/>
          </w:tcPr>
          <w:p w:rsidR="00250478" w:rsidRPr="00FA6C40" w:rsidRDefault="009872DD" w:rsidP="00810219">
            <w:pPr>
              <w:suppressAutoHyphens/>
              <w:spacing w:line="360" w:lineRule="auto"/>
              <w:rPr>
                <w:rFonts w:cs="Arial"/>
                <w:sz w:val="24"/>
                <w:lang w:val="es-ES_tradnl" w:eastAsia="ar-SA"/>
              </w:rPr>
            </w:pPr>
            <w:r>
              <w:rPr>
                <w:rFonts w:cs="Arial"/>
                <w:sz w:val="24"/>
                <w:lang w:val="es-ES_tradnl" w:eastAsia="ar-SA"/>
              </w:rPr>
              <w:t>Artículo 7 (Autorizaciones</w:t>
            </w:r>
            <w:r w:rsidR="00250478" w:rsidRPr="00FA6C40">
              <w:rPr>
                <w:rFonts w:cs="Arial"/>
                <w:sz w:val="24"/>
                <w:lang w:val="es-ES_tradnl" w:eastAsia="ar-SA"/>
              </w:rPr>
              <w:t>)</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5 (Autoridad competente)</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7.1 y</w:t>
            </w:r>
            <w:r w:rsidR="009872DD">
              <w:rPr>
                <w:rFonts w:cs="Arial"/>
                <w:sz w:val="24"/>
                <w:lang w:val="es-ES_tradnl" w:eastAsia="ar-SA"/>
              </w:rPr>
              <w:t xml:space="preserve"> 4 (autorizaciones</w:t>
            </w:r>
            <w:r w:rsidRPr="00FA6C40">
              <w:rPr>
                <w:rFonts w:cs="Arial"/>
                <w:sz w:val="24"/>
                <w:lang w:val="es-ES_tradnl" w:eastAsia="ar-SA"/>
              </w:rPr>
              <w:t>)</w:t>
            </w:r>
          </w:p>
        </w:tc>
      </w:tr>
      <w:tr w:rsidR="00250478" w:rsidRPr="00FA6C40" w:rsidTr="00810219">
        <w:trPr>
          <w:jc w:val="center"/>
        </w:trPr>
        <w:tc>
          <w:tcPr>
            <w:tcW w:w="4503" w:type="dxa"/>
          </w:tcPr>
          <w:p w:rsidR="00250478" w:rsidRPr="00FA6C40" w:rsidRDefault="009872DD" w:rsidP="009872DD">
            <w:pPr>
              <w:suppressAutoHyphens/>
              <w:spacing w:line="360" w:lineRule="auto"/>
              <w:rPr>
                <w:rFonts w:cs="Arial"/>
                <w:sz w:val="24"/>
                <w:lang w:val="es-ES_tradnl" w:eastAsia="ar-SA"/>
              </w:rPr>
            </w:pPr>
            <w:r>
              <w:rPr>
                <w:rFonts w:cs="Arial"/>
                <w:sz w:val="24"/>
                <w:lang w:val="es-ES_tradnl" w:eastAsia="ar-SA"/>
              </w:rPr>
              <w:t>Artículo 6 (Requisitos de la autorización)</w:t>
            </w:r>
          </w:p>
        </w:tc>
        <w:tc>
          <w:tcPr>
            <w:tcW w:w="4819" w:type="dxa"/>
          </w:tcPr>
          <w:p w:rsidR="00250478" w:rsidRPr="00FA6C40" w:rsidRDefault="009872DD" w:rsidP="00810219">
            <w:pPr>
              <w:suppressAutoHyphens/>
              <w:spacing w:line="360" w:lineRule="auto"/>
              <w:rPr>
                <w:rFonts w:cs="Arial"/>
                <w:sz w:val="24"/>
                <w:lang w:val="es-ES_tradnl" w:eastAsia="ar-SA"/>
              </w:rPr>
            </w:pPr>
            <w:r>
              <w:rPr>
                <w:rFonts w:cs="Arial"/>
                <w:sz w:val="24"/>
                <w:lang w:val="es-ES_tradnl" w:eastAsia="ar-SA"/>
              </w:rPr>
              <w:t>Artículo 7 (autorizaciones</w:t>
            </w:r>
            <w:r w:rsidR="00250478" w:rsidRPr="00FA6C40">
              <w:rPr>
                <w:rFonts w:cs="Arial"/>
                <w:sz w:val="24"/>
                <w:lang w:val="es-ES_tradnl" w:eastAsia="ar-SA"/>
              </w:rPr>
              <w:t>)</w:t>
            </w:r>
          </w:p>
        </w:tc>
      </w:tr>
      <w:tr w:rsidR="00250478" w:rsidRPr="00FA6C40" w:rsidTr="00810219">
        <w:trPr>
          <w:jc w:val="center"/>
        </w:trPr>
        <w:tc>
          <w:tcPr>
            <w:tcW w:w="4503"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Artículo 7(Revocación de la</w:t>
            </w:r>
            <w:r w:rsidR="009872DD">
              <w:rPr>
                <w:rFonts w:cs="Arial"/>
                <w:sz w:val="24"/>
                <w:lang w:val="es-ES_tradnl" w:eastAsia="ar-SA"/>
              </w:rPr>
              <w:t xml:space="preserve"> autorización</w:t>
            </w:r>
            <w:r w:rsidRPr="00FA6C40">
              <w:rPr>
                <w:rFonts w:cs="Arial"/>
                <w:sz w:val="24"/>
                <w:lang w:val="es-ES_tradnl" w:eastAsia="ar-SA"/>
              </w:rPr>
              <w:t>)</w:t>
            </w:r>
          </w:p>
        </w:tc>
        <w:tc>
          <w:tcPr>
            <w:tcW w:w="4819" w:type="dxa"/>
          </w:tcPr>
          <w:p w:rsidR="00250478" w:rsidRPr="00FA6C40" w:rsidRDefault="009872DD" w:rsidP="00810219">
            <w:pPr>
              <w:suppressAutoHyphens/>
              <w:spacing w:line="360" w:lineRule="auto"/>
              <w:rPr>
                <w:rFonts w:cs="Arial"/>
                <w:sz w:val="24"/>
                <w:lang w:val="es-ES_tradnl" w:eastAsia="ar-SA"/>
              </w:rPr>
            </w:pPr>
            <w:r>
              <w:rPr>
                <w:rFonts w:cs="Arial"/>
                <w:sz w:val="24"/>
                <w:lang w:val="es-ES_tradnl" w:eastAsia="ar-SA"/>
              </w:rPr>
              <w:t>Artículo 7.4 (autorizaciones</w:t>
            </w:r>
            <w:r w:rsidR="00250478" w:rsidRPr="00FA6C40">
              <w:rPr>
                <w:rFonts w:cs="Arial"/>
                <w:sz w:val="24"/>
                <w:lang w:val="es-ES_tradnl" w:eastAsia="ar-SA"/>
              </w:rPr>
              <w:t>)</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8 (Registro de transacciones)</w:t>
            </w:r>
          </w:p>
        </w:tc>
        <w:tc>
          <w:tcPr>
            <w:tcW w:w="4819" w:type="dxa"/>
          </w:tcPr>
          <w:p w:rsidR="00250478" w:rsidRPr="00FA6C40" w:rsidRDefault="009872DD" w:rsidP="00810219">
            <w:pPr>
              <w:suppressAutoHyphens/>
              <w:spacing w:line="360" w:lineRule="auto"/>
              <w:rPr>
                <w:rFonts w:cs="Arial"/>
                <w:sz w:val="24"/>
                <w:lang w:val="es-ES_tradnl" w:eastAsia="ar-SA"/>
              </w:rPr>
            </w:pPr>
            <w:r>
              <w:rPr>
                <w:rFonts w:cs="Arial"/>
                <w:sz w:val="24"/>
                <w:lang w:val="es-ES_tradnl" w:eastAsia="ar-SA"/>
              </w:rPr>
              <w:t>Recogido en el artículo 2 del Real Decreto 40/2027.</w:t>
            </w:r>
          </w:p>
        </w:tc>
      </w:tr>
      <w:tr w:rsidR="00250478" w:rsidRPr="00FA6C40" w:rsidTr="00810219">
        <w:trPr>
          <w:jc w:val="center"/>
        </w:trPr>
        <w:tc>
          <w:tcPr>
            <w:tcW w:w="4503"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 xml:space="preserve">Artículo 9 (Comunicación de desapariciones y robos)  </w:t>
            </w:r>
          </w:p>
        </w:tc>
        <w:tc>
          <w:tcPr>
            <w:tcW w:w="4819"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 xml:space="preserve">Artículo 9 (Comunicación de desapariciones y robos)  </w:t>
            </w:r>
          </w:p>
        </w:tc>
      </w:tr>
      <w:tr w:rsidR="00250478" w:rsidRPr="00FA6C40" w:rsidTr="00810219">
        <w:trPr>
          <w:trHeight w:val="633"/>
          <w:jc w:val="center"/>
        </w:trPr>
        <w:tc>
          <w:tcPr>
            <w:tcW w:w="4503" w:type="dxa"/>
          </w:tcPr>
          <w:p w:rsidR="00250478" w:rsidRPr="00FA6C40" w:rsidRDefault="00250478" w:rsidP="00810219">
            <w:pPr>
              <w:suppressAutoHyphens/>
              <w:spacing w:line="360" w:lineRule="auto"/>
              <w:jc w:val="center"/>
              <w:rPr>
                <w:rFonts w:cs="Arial"/>
                <w:sz w:val="24"/>
                <w:lang w:val="es-ES_tradnl" w:eastAsia="ar-SA"/>
              </w:rPr>
            </w:pPr>
            <w:r w:rsidRPr="00FA6C40">
              <w:rPr>
                <w:rFonts w:cs="Arial"/>
                <w:sz w:val="24"/>
                <w:lang w:val="es-ES_tradnl" w:eastAsia="ar-SA"/>
              </w:rPr>
              <w:t>Artículo 10 (Infracciones muy graves)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11(Sanciones)</w:t>
            </w:r>
          </w:p>
        </w:tc>
      </w:tr>
      <w:tr w:rsidR="00250478" w:rsidRPr="00FA6C40" w:rsidTr="00810219">
        <w:trPr>
          <w:trHeight w:val="697"/>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11 (Infracciones graves)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11(Sanciones)</w:t>
            </w:r>
          </w:p>
        </w:tc>
      </w:tr>
      <w:tr w:rsidR="00250478" w:rsidRPr="00FA6C40" w:rsidTr="00810219">
        <w:trPr>
          <w:trHeight w:val="553"/>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12 (Infracciones leves)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11(Sanciones)</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13 (Sanciones)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11(Sanciones)</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14 (Graduación de las sanciones)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 xml:space="preserve">Artículo 11 (Sanciones) </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lastRenderedPageBreak/>
              <w:t>Artículo 15 (Competencia sancionadora)</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16 (Prescripción de las infracciones y sanciones)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17 (Medidas provisionales)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r w:rsidR="00250478" w:rsidRPr="00FA6C40" w:rsidTr="00810219">
        <w:trPr>
          <w:jc w:val="center"/>
        </w:trPr>
        <w:tc>
          <w:tcPr>
            <w:tcW w:w="4503" w:type="dxa"/>
          </w:tcPr>
          <w:p w:rsidR="00250478" w:rsidRPr="00FA6C40" w:rsidRDefault="00250478" w:rsidP="009872DD">
            <w:pPr>
              <w:suppressAutoHyphens/>
              <w:spacing w:line="360" w:lineRule="auto"/>
              <w:rPr>
                <w:rFonts w:cs="Arial"/>
                <w:sz w:val="24"/>
                <w:lang w:val="es-ES_tradnl" w:eastAsia="ar-SA"/>
              </w:rPr>
            </w:pPr>
            <w:r w:rsidRPr="00FA6C40">
              <w:rPr>
                <w:rFonts w:cs="Arial"/>
                <w:sz w:val="24"/>
                <w:lang w:val="es-ES_tradnl" w:eastAsia="ar-SA"/>
              </w:rPr>
              <w:t xml:space="preserve">Artículo 18 </w:t>
            </w:r>
            <w:r w:rsidRPr="00FA6C40">
              <w:rPr>
                <w:rFonts w:ascii="Arial Narrow" w:hAnsi="Arial Narrow"/>
                <w:szCs w:val="20"/>
                <w:lang w:val="es-ES_tradnl" w:eastAsia="ar-SA"/>
              </w:rPr>
              <w:t>(</w:t>
            </w:r>
            <w:r w:rsidRPr="00FA6C40">
              <w:rPr>
                <w:rFonts w:cs="Arial"/>
                <w:sz w:val="24"/>
                <w:lang w:val="es-ES_tradnl" w:eastAsia="ar-SA"/>
              </w:rPr>
              <w:t>Intervención)</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19 (Potestades de la inspección)</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adicional primera (Protección de datos de carácter personal)</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10 (Protección de datos)</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adicional segunda</w:t>
            </w:r>
          </w:p>
        </w:tc>
        <w:tc>
          <w:tcPr>
            <w:tcW w:w="4819" w:type="dxa"/>
          </w:tcPr>
          <w:p w:rsidR="00250478" w:rsidRPr="00FA6C40" w:rsidRDefault="00250478" w:rsidP="00810219">
            <w:pPr>
              <w:suppressAutoHyphens/>
              <w:spacing w:line="360" w:lineRule="auto"/>
              <w:jc w:val="center"/>
              <w:rPr>
                <w:rFonts w:cs="Arial"/>
                <w:sz w:val="24"/>
                <w:lang w:val="es-ES_tradnl" w:eastAsia="ar-SA"/>
              </w:rPr>
            </w:pPr>
            <w:r w:rsidRPr="00FA6C40">
              <w:rPr>
                <w:rFonts w:cs="Arial"/>
                <w:sz w:val="24"/>
                <w:lang w:val="es-ES_tradnl" w:eastAsia="ar-SA"/>
              </w:rPr>
              <w:t>---</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transitoria única (Posesión y utilización por los particulares de precursores de explosivos restringidos).</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Artículo 16 (Disposición transitoria)</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final primera</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 xml:space="preserve">Sin correspondencia </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final segunda</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 xml:space="preserve">Sin correspondencia </w:t>
            </w:r>
          </w:p>
        </w:tc>
      </w:tr>
      <w:tr w:rsidR="00250478" w:rsidRPr="00FA6C40" w:rsidTr="00810219">
        <w:trPr>
          <w:jc w:val="center"/>
        </w:trPr>
        <w:tc>
          <w:tcPr>
            <w:tcW w:w="4503"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Disposición final tercera</w:t>
            </w:r>
          </w:p>
        </w:tc>
        <w:tc>
          <w:tcPr>
            <w:tcW w:w="4819" w:type="dxa"/>
          </w:tcPr>
          <w:p w:rsidR="00250478" w:rsidRPr="00FA6C40" w:rsidRDefault="00250478" w:rsidP="00810219">
            <w:pPr>
              <w:suppressAutoHyphens/>
              <w:spacing w:line="360" w:lineRule="auto"/>
              <w:rPr>
                <w:rFonts w:cs="Arial"/>
                <w:sz w:val="24"/>
                <w:lang w:val="es-ES_tradnl" w:eastAsia="ar-SA"/>
              </w:rPr>
            </w:pPr>
            <w:r w:rsidRPr="00FA6C40">
              <w:rPr>
                <w:rFonts w:cs="Arial"/>
                <w:sz w:val="24"/>
                <w:lang w:val="es-ES_tradnl" w:eastAsia="ar-SA"/>
              </w:rPr>
              <w:t>Sin correspondencia</w:t>
            </w:r>
          </w:p>
        </w:tc>
      </w:tr>
    </w:tbl>
    <w:p w:rsidR="00250478" w:rsidRPr="00F226FB" w:rsidRDefault="00250478" w:rsidP="00250478">
      <w:pPr>
        <w:suppressAutoHyphens/>
        <w:spacing w:line="360" w:lineRule="auto"/>
        <w:rPr>
          <w:rFonts w:cs="Arial"/>
          <w:b/>
          <w:color w:val="FF0000"/>
          <w:sz w:val="24"/>
          <w:lang w:val="es-ES_tradnl" w:eastAsia="ar-SA"/>
        </w:rPr>
      </w:pPr>
    </w:p>
    <w:p w:rsidR="004823AB" w:rsidRDefault="00F226FB">
      <w:pPr>
        <w:rPr>
          <w:b/>
          <w:color w:val="FF0000"/>
        </w:rPr>
      </w:pPr>
      <w:r w:rsidRPr="00F226FB">
        <w:rPr>
          <w:b/>
          <w:color w:val="FF0000"/>
        </w:rPr>
        <w:t>COMENTARIOS</w:t>
      </w:r>
    </w:p>
    <w:p w:rsidR="00F226FB" w:rsidRDefault="00F226FB">
      <w:pPr>
        <w:rPr>
          <w:b/>
          <w:color w:val="FF0000"/>
        </w:rPr>
      </w:pPr>
    </w:p>
    <w:p w:rsidR="00F226FB" w:rsidRPr="00327F77" w:rsidRDefault="00F226FB" w:rsidP="00F226FB">
      <w:pPr>
        <w:suppressAutoHyphens/>
        <w:spacing w:line="360" w:lineRule="auto"/>
        <w:rPr>
          <w:rFonts w:cs="Arial"/>
          <w:color w:val="FF0000"/>
          <w:sz w:val="24"/>
          <w:lang w:val="es-ES_tradnl" w:eastAsia="ar-SA"/>
        </w:rPr>
      </w:pPr>
      <w:r w:rsidRPr="00327F77">
        <w:rPr>
          <w:rFonts w:cs="Arial"/>
          <w:b/>
          <w:color w:val="FF0000"/>
          <w:sz w:val="24"/>
          <w:lang w:val="es-ES_tradnl" w:eastAsia="ar-SA"/>
        </w:rPr>
        <w:t xml:space="preserve">La tabla de correspondencia </w:t>
      </w:r>
      <w:r w:rsidRPr="00327F77">
        <w:rPr>
          <w:rFonts w:cs="Arial"/>
          <w:color w:val="FF0000"/>
          <w:sz w:val="24"/>
          <w:lang w:val="es-ES_tradnl" w:eastAsia="ar-SA"/>
        </w:rPr>
        <w:t xml:space="preserve"> entre los preceptos del proyecto normativo y los de la norma comunitaria, es un instrumento que tiene una doble función:</w:t>
      </w:r>
    </w:p>
    <w:p w:rsidR="00F226FB" w:rsidRPr="00327F77" w:rsidRDefault="00F226FB" w:rsidP="00F226FB">
      <w:pPr>
        <w:tabs>
          <w:tab w:val="left" w:pos="2133"/>
        </w:tabs>
        <w:suppressAutoHyphens/>
        <w:spacing w:line="360" w:lineRule="auto"/>
        <w:rPr>
          <w:rFonts w:cs="Arial"/>
          <w:color w:val="FF0000"/>
          <w:sz w:val="24"/>
          <w:lang w:val="es-ES_tradnl" w:eastAsia="ar-SA"/>
        </w:rPr>
      </w:pPr>
      <w:r w:rsidRPr="00327F77">
        <w:rPr>
          <w:rFonts w:cs="Arial"/>
          <w:color w:val="FF0000"/>
          <w:sz w:val="24"/>
          <w:lang w:val="es-ES_tradnl" w:eastAsia="ar-SA"/>
        </w:rPr>
        <w:tab/>
      </w: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1º </w:t>
      </w:r>
      <w:r w:rsidRPr="003E5F24">
        <w:rPr>
          <w:rFonts w:cs="Arial"/>
          <w:b/>
          <w:color w:val="FF0000"/>
          <w:sz w:val="24"/>
          <w:u w:val="single"/>
          <w:lang w:val="es-ES_tradnl" w:eastAsia="ar-SA"/>
        </w:rPr>
        <w:t>Para el Centro Directivo</w:t>
      </w:r>
      <w:r w:rsidRPr="00327F77">
        <w:rPr>
          <w:rFonts w:cs="Arial"/>
          <w:color w:val="FF0000"/>
          <w:sz w:val="24"/>
          <w:lang w:val="es-ES_tradnl" w:eastAsia="ar-SA"/>
        </w:rPr>
        <w:t xml:space="preserve"> que elabora el proyecto normativo ya que es una manera de controlar que se está incorporando correctamente </w:t>
      </w:r>
      <w:r w:rsidR="003E5F24">
        <w:rPr>
          <w:rFonts w:cs="Arial"/>
          <w:color w:val="FF0000"/>
          <w:sz w:val="24"/>
          <w:lang w:val="es-ES_tradnl" w:eastAsia="ar-SA"/>
        </w:rPr>
        <w:t xml:space="preserve">la norma comunitaria, </w:t>
      </w:r>
      <w:r w:rsidRPr="00327F77">
        <w:rPr>
          <w:rFonts w:cs="Arial"/>
          <w:color w:val="FF0000"/>
          <w:sz w:val="24"/>
          <w:lang w:val="es-ES_tradnl" w:eastAsia="ar-SA"/>
        </w:rPr>
        <w:t xml:space="preserve">al poder comprobar de una manera fácil y rápida que se han relacionado en la tabla  todos los preceptos de la norma comunitaria que deben ser objeto de incorporación, garantizando así su correcta transposición.  </w:t>
      </w:r>
    </w:p>
    <w:p w:rsidR="00F226FB" w:rsidRPr="00327F77" w:rsidRDefault="00F226FB" w:rsidP="00F226FB">
      <w:pPr>
        <w:suppressAutoHyphens/>
        <w:spacing w:line="360" w:lineRule="auto"/>
        <w:rPr>
          <w:rFonts w:cs="Arial"/>
          <w:color w:val="FF0000"/>
          <w:sz w:val="24"/>
          <w:lang w:val="es-ES_tradnl" w:eastAsia="ar-SA"/>
        </w:rPr>
      </w:pP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2º </w:t>
      </w:r>
      <w:r w:rsidRPr="003E5F24">
        <w:rPr>
          <w:rFonts w:cs="Arial"/>
          <w:b/>
          <w:color w:val="FF0000"/>
          <w:sz w:val="24"/>
          <w:u w:val="single"/>
          <w:lang w:val="es-ES_tradnl" w:eastAsia="ar-SA"/>
        </w:rPr>
        <w:t>Para los órganos que deben informar el proyecto normativo</w:t>
      </w:r>
      <w:r w:rsidRPr="00327F77">
        <w:rPr>
          <w:rFonts w:cs="Arial"/>
          <w:color w:val="FF0000"/>
          <w:sz w:val="24"/>
          <w:lang w:val="es-ES_tradnl" w:eastAsia="ar-SA"/>
        </w:rPr>
        <w:t xml:space="preserve">, pues de esta manera pueden comprobar, a su vez, que se está incorporando correctamente la norma comunitaria, además de facilitar su estudio al poder </w:t>
      </w:r>
      <w:r w:rsidRPr="00327F77">
        <w:rPr>
          <w:rFonts w:cs="Arial"/>
          <w:color w:val="FF0000"/>
          <w:sz w:val="24"/>
          <w:lang w:val="es-ES_tradnl" w:eastAsia="ar-SA"/>
        </w:rPr>
        <w:lastRenderedPageBreak/>
        <w:t>conocer  a través de la tabla cómo el contenido de determinados artículos son consecuencia directa de la transposición de la norma comunitaria.</w:t>
      </w:r>
    </w:p>
    <w:p w:rsidR="00F226FB" w:rsidRPr="00327F77" w:rsidRDefault="00F226FB" w:rsidP="00F226FB">
      <w:pPr>
        <w:suppressAutoHyphens/>
        <w:spacing w:line="360" w:lineRule="auto"/>
        <w:rPr>
          <w:rFonts w:cs="Arial"/>
          <w:color w:val="FF0000"/>
          <w:sz w:val="24"/>
          <w:lang w:val="es-ES_tradnl" w:eastAsia="ar-SA"/>
        </w:rPr>
      </w:pP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Aunque en un primer momento os parezca que realizar una tabla de correspondencia carece de relevancia en el contenido de una memoria, mi experiencia práctica es que es sustancial no sólo por las razones que he expuesto anteriormente, también porque puede evitar observaciones durante su tramitación.</w:t>
      </w:r>
    </w:p>
    <w:p w:rsidR="00F226FB" w:rsidRPr="00327F77" w:rsidRDefault="00F226FB" w:rsidP="00F226FB">
      <w:pPr>
        <w:suppressAutoHyphens/>
        <w:spacing w:line="360" w:lineRule="auto"/>
        <w:rPr>
          <w:rFonts w:cs="Arial"/>
          <w:color w:val="FF0000"/>
          <w:sz w:val="24"/>
          <w:lang w:val="es-ES_tradnl" w:eastAsia="ar-SA"/>
        </w:rPr>
      </w:pP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El contenido de una norma comunitaria en muchas ocasiones es complejo y su transposición laboriosa, lo que puede dar lugar a dudas que se convierten en observaciones para aclarar o explicar en qué preceptos del proyecto normativo se han recogido. Con esta tabla todas esas dudas pueden encontrar una fácil respuesta, lo que evita que se planteen observaciones que retrasen la aprobación del proyecto. </w:t>
      </w:r>
    </w:p>
    <w:p w:rsidR="00F226FB" w:rsidRPr="00327F77" w:rsidRDefault="00F226FB" w:rsidP="00F226FB">
      <w:pPr>
        <w:suppressAutoHyphens/>
        <w:spacing w:line="360" w:lineRule="auto"/>
        <w:rPr>
          <w:rFonts w:cs="Arial"/>
          <w:color w:val="FF0000"/>
          <w:sz w:val="24"/>
          <w:lang w:val="es-ES_tradnl" w:eastAsia="ar-SA"/>
        </w:rPr>
      </w:pPr>
    </w:p>
    <w:p w:rsidR="00F226FB" w:rsidRPr="00327F77" w:rsidRDefault="00F226FB" w:rsidP="003A17A5">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Quiero </w:t>
      </w:r>
      <w:r w:rsidR="003E5F24">
        <w:rPr>
          <w:rFonts w:cs="Arial"/>
          <w:color w:val="FF0000"/>
          <w:sz w:val="24"/>
          <w:lang w:val="es-ES_tradnl" w:eastAsia="ar-SA"/>
        </w:rPr>
        <w:t xml:space="preserve">señalar </w:t>
      </w:r>
      <w:r w:rsidRPr="00327F77">
        <w:rPr>
          <w:rFonts w:cs="Arial"/>
          <w:color w:val="FF0000"/>
          <w:sz w:val="24"/>
          <w:lang w:val="es-ES_tradnl" w:eastAsia="ar-SA"/>
        </w:rPr>
        <w:t>algunos preceptos del proyecto normativo que, como podéis comprobar</w:t>
      </w:r>
      <w:r w:rsidR="003E5F24">
        <w:rPr>
          <w:rFonts w:cs="Arial"/>
          <w:color w:val="FF0000"/>
          <w:sz w:val="24"/>
          <w:lang w:val="es-ES_tradnl" w:eastAsia="ar-SA"/>
        </w:rPr>
        <w:t>,</w:t>
      </w:r>
      <w:r w:rsidRPr="00327F77">
        <w:rPr>
          <w:rFonts w:cs="Arial"/>
          <w:color w:val="FF0000"/>
          <w:sz w:val="24"/>
          <w:lang w:val="es-ES_tradnl" w:eastAsia="ar-SA"/>
        </w:rPr>
        <w:t xml:space="preserve"> carecen de correspondencia. Esto se debe a que no todo el contenido del proyecto normativo responde a la transposición de la norma comunitaria</w:t>
      </w:r>
      <w:r w:rsidR="003E5F24">
        <w:rPr>
          <w:rFonts w:cs="Arial"/>
          <w:color w:val="FF0000"/>
          <w:sz w:val="24"/>
          <w:lang w:val="es-ES_tradnl" w:eastAsia="ar-SA"/>
        </w:rPr>
        <w:t>.</w:t>
      </w:r>
      <w:r w:rsidR="003A17A5">
        <w:rPr>
          <w:rFonts w:cs="Arial"/>
          <w:color w:val="FF0000"/>
          <w:sz w:val="24"/>
          <w:lang w:val="es-ES_tradnl" w:eastAsia="ar-SA"/>
        </w:rPr>
        <w:t xml:space="preserve"> </w:t>
      </w:r>
      <w:r w:rsidR="003E5F24">
        <w:rPr>
          <w:rFonts w:cs="Arial"/>
          <w:color w:val="FF0000"/>
          <w:sz w:val="24"/>
          <w:lang w:val="es-ES_tradnl" w:eastAsia="ar-SA"/>
        </w:rPr>
        <w:t xml:space="preserve">En este ejemplo </w:t>
      </w:r>
      <w:r w:rsidRPr="00327F77">
        <w:rPr>
          <w:rFonts w:cs="Arial"/>
          <w:color w:val="FF0000"/>
          <w:sz w:val="24"/>
          <w:lang w:val="es-ES_tradnl" w:eastAsia="ar-SA"/>
        </w:rPr>
        <w:t>los artículos 15 a 19</w:t>
      </w:r>
      <w:r w:rsidR="003A17A5">
        <w:rPr>
          <w:rFonts w:cs="Arial"/>
          <w:color w:val="FF0000"/>
          <w:sz w:val="24"/>
          <w:lang w:val="es-ES_tradnl" w:eastAsia="ar-SA"/>
        </w:rPr>
        <w:t xml:space="preserve"> dedicados  a la competencia sancionadora, la p</w:t>
      </w:r>
      <w:r w:rsidR="003A17A5" w:rsidRPr="003A17A5">
        <w:rPr>
          <w:rFonts w:cs="Arial"/>
          <w:color w:val="FF0000"/>
          <w:sz w:val="24"/>
          <w:lang w:val="es-ES_tradnl" w:eastAsia="ar-SA"/>
        </w:rPr>
        <w:t xml:space="preserve">rescripción </w:t>
      </w:r>
      <w:r w:rsidR="003A17A5">
        <w:rPr>
          <w:rFonts w:cs="Arial"/>
          <w:color w:val="FF0000"/>
          <w:sz w:val="24"/>
          <w:lang w:val="es-ES_tradnl" w:eastAsia="ar-SA"/>
        </w:rPr>
        <w:t>de las infracciones y sanciones, las medidas provisionales, la intervención y  las potestades de la inspección, no se corresponden con ningún precepto de la norma comunitaria.</w:t>
      </w: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 </w:t>
      </w: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También puede ocurrir que uno o varios de los artículos de la norma comunitaria </w:t>
      </w:r>
      <w:proofErr w:type="gramStart"/>
      <w:r w:rsidRPr="00327F77">
        <w:rPr>
          <w:rFonts w:cs="Arial"/>
          <w:color w:val="FF0000"/>
          <w:sz w:val="24"/>
          <w:lang w:val="es-ES_tradnl" w:eastAsia="ar-SA"/>
        </w:rPr>
        <w:t>contemple</w:t>
      </w:r>
      <w:proofErr w:type="gramEnd"/>
      <w:r w:rsidRPr="00327F77">
        <w:rPr>
          <w:rFonts w:cs="Arial"/>
          <w:color w:val="FF0000"/>
          <w:sz w:val="24"/>
          <w:lang w:val="es-ES_tradnl" w:eastAsia="ar-SA"/>
        </w:rPr>
        <w:t xml:space="preserve"> ciertas medidas que ya están recogidas en alguna norma interna de nuestro ordenamiento, sin que sea necesaria su regulación</w:t>
      </w:r>
      <w:r w:rsidR="003A17A5">
        <w:rPr>
          <w:rFonts w:cs="Arial"/>
          <w:color w:val="FF0000"/>
          <w:sz w:val="24"/>
          <w:lang w:val="es-ES_tradnl" w:eastAsia="ar-SA"/>
        </w:rPr>
        <w:t xml:space="preserve"> a través del proyecto normativo</w:t>
      </w:r>
      <w:bookmarkStart w:id="0" w:name="_GoBack"/>
      <w:bookmarkEnd w:id="0"/>
      <w:r w:rsidRPr="00327F77">
        <w:rPr>
          <w:rFonts w:cs="Arial"/>
          <w:color w:val="FF0000"/>
          <w:sz w:val="24"/>
          <w:lang w:val="es-ES_tradnl" w:eastAsia="ar-SA"/>
        </w:rPr>
        <w:t>. En este supuesto habría que indicar el artículo y la norma de que se trate (en la tabla es el ejemplo de correspondencia con el artículo 8)</w:t>
      </w:r>
    </w:p>
    <w:p w:rsidR="00F226FB" w:rsidRPr="00327F77" w:rsidRDefault="00F226FB" w:rsidP="00F226FB">
      <w:pPr>
        <w:suppressAutoHyphens/>
        <w:spacing w:line="360" w:lineRule="auto"/>
        <w:rPr>
          <w:rFonts w:cs="Arial"/>
          <w:color w:val="FF0000"/>
          <w:sz w:val="24"/>
          <w:lang w:val="es-ES_tradnl" w:eastAsia="ar-SA"/>
        </w:rPr>
      </w:pPr>
    </w:p>
    <w:p w:rsidR="00F226FB" w:rsidRPr="00327F77" w:rsidRDefault="00F226FB" w:rsidP="00F226FB">
      <w:pPr>
        <w:suppressAutoHyphens/>
        <w:spacing w:line="360" w:lineRule="auto"/>
        <w:rPr>
          <w:rFonts w:cs="Arial"/>
          <w:color w:val="FF0000"/>
          <w:sz w:val="24"/>
          <w:lang w:val="es-ES_tradnl" w:eastAsia="ar-SA"/>
        </w:rPr>
      </w:pPr>
      <w:r w:rsidRPr="00327F77">
        <w:rPr>
          <w:rFonts w:cs="Arial"/>
          <w:color w:val="FF0000"/>
          <w:sz w:val="24"/>
          <w:lang w:val="es-ES_tradnl" w:eastAsia="ar-SA"/>
        </w:rPr>
        <w:t xml:space="preserve">Aunque la  Guía Metodológica no lo impone como una obligación, mi consejo es que siempre hagáis la tabla de correspondencia. </w:t>
      </w:r>
    </w:p>
    <w:p w:rsidR="00F226FB" w:rsidRPr="00327F77" w:rsidRDefault="00F226FB">
      <w:pPr>
        <w:rPr>
          <w:b/>
          <w:color w:val="FF0000"/>
          <w:lang w:val="es-ES_tradnl"/>
        </w:rPr>
      </w:pPr>
    </w:p>
    <w:sectPr w:rsidR="00F226FB" w:rsidRPr="00327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78"/>
    <w:rsid w:val="000C1FAA"/>
    <w:rsid w:val="00250478"/>
    <w:rsid w:val="00327F77"/>
    <w:rsid w:val="003A17A5"/>
    <w:rsid w:val="003E5F24"/>
    <w:rsid w:val="004823AB"/>
    <w:rsid w:val="009872DD"/>
    <w:rsid w:val="00F22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78"/>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78"/>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Hurtado Costero, Silvia</dc:creator>
  <cp:lastModifiedBy>Hurtado Costero, Silvia</cp:lastModifiedBy>
  <cp:revision>6</cp:revision>
  <dcterms:created xsi:type="dcterms:W3CDTF">2017-10-06T10:50:00Z</dcterms:created>
  <dcterms:modified xsi:type="dcterms:W3CDTF">2017-11-10T07:55:00Z</dcterms:modified>
</cp:coreProperties>
</file>